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D24" w:rsidRDefault="00382D24">
      <w:pPr>
        <w:pStyle w:val="Nadpis4"/>
        <w:spacing w:before="67"/>
        <w:ind w:left="136"/>
      </w:pPr>
      <w:bookmarkStart w:id="0" w:name="1._Identifikace_látky/směsi_a_společnost"/>
      <w:bookmarkEnd w:id="0"/>
    </w:p>
    <w:p w:rsidR="00BF612A" w:rsidRDefault="003E52AB">
      <w:pPr>
        <w:pStyle w:val="Nadpis4"/>
        <w:spacing w:before="67"/>
        <w:ind w:left="136"/>
      </w:pPr>
      <w:r>
        <w:t>ODDÍL 1: Identifikace látky/směsi a společnosti/podniku</w:t>
      </w:r>
    </w:p>
    <w:p w:rsidR="00BF612A" w:rsidRDefault="00BF612A">
      <w:pPr>
        <w:sectPr w:rsidR="00BF612A" w:rsidSect="003E52AB">
          <w:headerReference w:type="default" r:id="rId7"/>
          <w:footerReference w:type="default" r:id="rId8"/>
          <w:type w:val="continuous"/>
          <w:pgSz w:w="11900" w:h="16840"/>
          <w:pgMar w:top="1985" w:right="700" w:bottom="1520" w:left="720" w:header="853" w:footer="397" w:gutter="0"/>
          <w:pgNumType w:start="1"/>
          <w:cols w:space="708"/>
          <w:docGrid w:linePitch="299"/>
        </w:sectPr>
      </w:pPr>
    </w:p>
    <w:p w:rsidR="00BF612A" w:rsidRDefault="003E52AB">
      <w:pPr>
        <w:pStyle w:val="Odstavecseseznamem"/>
        <w:numPr>
          <w:ilvl w:val="1"/>
          <w:numId w:val="12"/>
        </w:numPr>
        <w:tabs>
          <w:tab w:val="left" w:pos="787"/>
          <w:tab w:val="left" w:pos="788"/>
        </w:tabs>
        <w:ind w:hanging="651"/>
        <w:rPr>
          <w:b/>
          <w:sz w:val="16"/>
        </w:rPr>
      </w:pPr>
      <w:r>
        <w:rPr>
          <w:b/>
          <w:sz w:val="16"/>
        </w:rPr>
        <w:t>Identifikátor</w:t>
      </w:r>
      <w:r>
        <w:rPr>
          <w:b/>
          <w:spacing w:val="9"/>
          <w:sz w:val="16"/>
        </w:rPr>
        <w:t xml:space="preserve"> </w:t>
      </w:r>
      <w:r>
        <w:rPr>
          <w:b/>
          <w:sz w:val="16"/>
        </w:rPr>
        <w:t>výrobku</w:t>
      </w:r>
    </w:p>
    <w:p w:rsidR="00BF612A" w:rsidRDefault="003E52AB">
      <w:pPr>
        <w:pStyle w:val="Zkladntext"/>
        <w:spacing w:before="16" w:line="280" w:lineRule="auto"/>
        <w:ind w:right="880"/>
      </w:pPr>
      <w:r>
        <w:t>Látka / směs Číslo</w:t>
      </w:r>
    </w:p>
    <w:p w:rsidR="00BF612A" w:rsidRDefault="003E52AB">
      <w:pPr>
        <w:pStyle w:val="Zkladntext"/>
      </w:pPr>
      <w:r>
        <w:t>Chemický název</w:t>
      </w:r>
    </w:p>
    <w:p w:rsidR="00BF612A" w:rsidRDefault="00BF612A">
      <w:pPr>
        <w:pStyle w:val="Zkladntext"/>
        <w:spacing w:before="8"/>
        <w:ind w:left="0"/>
        <w:rPr>
          <w:sz w:val="18"/>
        </w:rPr>
      </w:pPr>
    </w:p>
    <w:p w:rsidR="00BF612A" w:rsidRDefault="003E52AB">
      <w:pPr>
        <w:pStyle w:val="Zkladntext"/>
      </w:pPr>
      <w:r>
        <w:t>Číslo ES (EINECS)</w:t>
      </w:r>
    </w:p>
    <w:p w:rsidR="00BF612A" w:rsidRDefault="003E52AB">
      <w:pPr>
        <w:pStyle w:val="Zkladntext"/>
        <w:spacing w:before="33" w:line="280" w:lineRule="auto"/>
        <w:ind w:right="555"/>
      </w:pPr>
      <w:r>
        <w:t>Registrační číslo Další názvy látky</w:t>
      </w:r>
    </w:p>
    <w:p w:rsidR="00BF612A" w:rsidRDefault="003E52AB">
      <w:pPr>
        <w:pStyle w:val="Zkladntext"/>
        <w:spacing w:before="16" w:line="280" w:lineRule="auto"/>
        <w:ind w:left="136" w:right="2546"/>
      </w:pPr>
      <w:r>
        <w:br w:type="column"/>
      </w:r>
      <w:r>
        <w:t>ZAPAL TO tekutý podpalovač látka</w:t>
      </w:r>
    </w:p>
    <w:p w:rsidR="00BF612A" w:rsidRDefault="003E52AB">
      <w:pPr>
        <w:pStyle w:val="Zkladntext"/>
        <w:ind w:left="136"/>
      </w:pPr>
      <w:r>
        <w:t>35C</w:t>
      </w:r>
    </w:p>
    <w:p w:rsidR="00BF612A" w:rsidRDefault="003E52AB">
      <w:pPr>
        <w:pStyle w:val="Zkladntext"/>
        <w:spacing w:before="33"/>
        <w:ind w:left="136"/>
      </w:pPr>
      <w:r>
        <w:t>Uhlovodíky, C11-C14, n-alkany, isoalkany, cyklické, &lt; 2% aromátů</w:t>
      </w:r>
    </w:p>
    <w:p w:rsidR="00BF612A" w:rsidRDefault="003E52AB">
      <w:pPr>
        <w:pStyle w:val="Zkladntext"/>
        <w:spacing w:before="31"/>
        <w:ind w:left="136"/>
      </w:pPr>
      <w:r>
        <w:t>926-141-6</w:t>
      </w:r>
    </w:p>
    <w:p w:rsidR="00BF612A" w:rsidRDefault="003E52AB">
      <w:pPr>
        <w:pStyle w:val="Zkladntext"/>
        <w:spacing w:before="33"/>
        <w:ind w:left="136"/>
      </w:pPr>
      <w:r>
        <w:t>01-2119456620-43-xxxx</w:t>
      </w:r>
    </w:p>
    <w:p w:rsidR="00BF612A" w:rsidRDefault="003E52AB">
      <w:pPr>
        <w:pStyle w:val="Zkladntext"/>
        <w:spacing w:before="33"/>
        <w:ind w:left="136"/>
      </w:pPr>
      <w:r>
        <w:t>Pe-Po tekutý podpaľovač, Uhlovodíky, C11-C14, n-alkany, isoalkany cyklické, &lt; 2% aromátů</w:t>
      </w:r>
    </w:p>
    <w:p w:rsidR="00BF612A" w:rsidRDefault="00BF612A">
      <w:pPr>
        <w:sectPr w:rsidR="00BF612A">
          <w:type w:val="continuous"/>
          <w:pgSz w:w="11900" w:h="16840"/>
          <w:pgMar w:top="860" w:right="700" w:bottom="1520" w:left="720" w:header="708" w:footer="708" w:gutter="0"/>
          <w:cols w:num="2" w:space="708" w:equalWidth="0">
            <w:col w:w="2729" w:space="2722"/>
            <w:col w:w="5029"/>
          </w:cols>
        </w:sectPr>
      </w:pPr>
    </w:p>
    <w:p w:rsidR="00BF612A" w:rsidRDefault="003E52AB">
      <w:pPr>
        <w:pStyle w:val="Nadpis4"/>
        <w:numPr>
          <w:ilvl w:val="1"/>
          <w:numId w:val="12"/>
        </w:numPr>
        <w:tabs>
          <w:tab w:val="left" w:pos="787"/>
          <w:tab w:val="left" w:pos="788"/>
        </w:tabs>
        <w:spacing w:before="47"/>
        <w:ind w:hanging="651"/>
      </w:pPr>
      <w:r>
        <w:t>Příslušná určená použití látky nebo směsi a nedoporučená</w:t>
      </w:r>
      <w:r>
        <w:rPr>
          <w:spacing w:val="27"/>
        </w:rPr>
        <w:t xml:space="preserve"> </w:t>
      </w:r>
      <w:r>
        <w:t>použití</w:t>
      </w:r>
    </w:p>
    <w:p w:rsidR="00BF612A" w:rsidRDefault="00BF612A">
      <w:pPr>
        <w:sectPr w:rsidR="00BF612A">
          <w:type w:val="continuous"/>
          <w:pgSz w:w="11900" w:h="16840"/>
          <w:pgMar w:top="860" w:right="700" w:bottom="1520" w:left="720" w:header="708" w:footer="708" w:gutter="0"/>
          <w:cols w:space="708"/>
        </w:sectPr>
      </w:pPr>
    </w:p>
    <w:p w:rsidR="00BF612A" w:rsidRDefault="003E52AB">
      <w:pPr>
        <w:pStyle w:val="Zkladntext"/>
        <w:spacing w:before="16"/>
      </w:pPr>
      <w:r>
        <w:t>Určená použití látky</w:t>
      </w:r>
    </w:p>
    <w:p w:rsidR="00BF612A" w:rsidRDefault="00BF612A">
      <w:pPr>
        <w:pStyle w:val="Zkladntext"/>
        <w:ind w:left="0"/>
        <w:rPr>
          <w:sz w:val="20"/>
        </w:rPr>
      </w:pPr>
    </w:p>
    <w:p w:rsidR="00BF612A" w:rsidRDefault="003E52AB">
      <w:pPr>
        <w:pStyle w:val="Zkladntext"/>
        <w:spacing w:before="179" w:line="420" w:lineRule="atLeast"/>
        <w:ind w:right="1962"/>
      </w:pPr>
      <w:r>
        <w:t>Nedoporučená použití látky Zpráva o chemické bezpečnosti</w:t>
      </w:r>
    </w:p>
    <w:p w:rsidR="00BF612A" w:rsidRDefault="003E52AB">
      <w:pPr>
        <w:pStyle w:val="Zkladntext"/>
        <w:spacing w:before="32"/>
      </w:pPr>
      <w:r>
        <w:t>Přílohou bezpečnostního listu je scénář expozice.</w:t>
      </w:r>
    </w:p>
    <w:p w:rsidR="00BF612A" w:rsidRDefault="003E52AB">
      <w:pPr>
        <w:pStyle w:val="Nadpis4"/>
        <w:numPr>
          <w:ilvl w:val="1"/>
          <w:numId w:val="12"/>
        </w:numPr>
        <w:tabs>
          <w:tab w:val="left" w:pos="787"/>
          <w:tab w:val="left" w:pos="788"/>
        </w:tabs>
        <w:spacing w:before="23" w:line="220" w:lineRule="atLeast"/>
        <w:ind w:hanging="651"/>
      </w:pPr>
      <w:r>
        <w:t>Podrobné údaje o dodavateli bezpečnostního listu Distributor</w:t>
      </w:r>
    </w:p>
    <w:p w:rsidR="00BF612A" w:rsidRDefault="003E52AB">
      <w:pPr>
        <w:pStyle w:val="Zkladntext"/>
        <w:spacing w:line="177" w:lineRule="exact"/>
        <w:ind w:left="1275"/>
      </w:pPr>
      <w:r>
        <w:t>Jméno nebo obchodní jméno</w:t>
      </w:r>
    </w:p>
    <w:p w:rsidR="00BF612A" w:rsidRDefault="003E52AB">
      <w:pPr>
        <w:pStyle w:val="Zkladntext"/>
        <w:spacing w:before="50"/>
        <w:ind w:left="1275"/>
      </w:pPr>
      <w:r>
        <w:t>Adresa</w:t>
      </w:r>
    </w:p>
    <w:p w:rsidR="00BF612A" w:rsidRDefault="00BF612A">
      <w:pPr>
        <w:pStyle w:val="Zkladntext"/>
        <w:spacing w:before="6"/>
        <w:ind w:left="0"/>
        <w:rPr>
          <w:sz w:val="21"/>
        </w:rPr>
      </w:pPr>
    </w:p>
    <w:p w:rsidR="00BF612A" w:rsidRDefault="003E52AB">
      <w:pPr>
        <w:pStyle w:val="Zkladntext"/>
        <w:spacing w:line="280" w:lineRule="auto"/>
        <w:ind w:left="1275" w:right="3416"/>
      </w:pPr>
      <w:r>
        <w:t>Telefon Fax Email</w:t>
      </w:r>
    </w:p>
    <w:p w:rsidR="00BF612A" w:rsidRDefault="003E52AB">
      <w:pPr>
        <w:pStyle w:val="Zkladntext"/>
        <w:ind w:left="1275"/>
      </w:pPr>
      <w:r>
        <w:t>Adresa www stránek</w:t>
      </w:r>
    </w:p>
    <w:p w:rsidR="00BF612A" w:rsidRDefault="003E52AB">
      <w:pPr>
        <w:pStyle w:val="Zkladntext"/>
        <w:spacing w:before="14"/>
        <w:ind w:left="136" w:right="208"/>
      </w:pPr>
      <w:r>
        <w:br w:type="column"/>
      </w:r>
      <w:r>
        <w:t>Výrobek určený k podpalování pevných hořlavých materiálů.</w:t>
      </w:r>
    </w:p>
    <w:p w:rsidR="00BF612A" w:rsidRDefault="003E52AB">
      <w:pPr>
        <w:pStyle w:val="Zkladntext"/>
        <w:spacing w:before="1"/>
        <w:ind w:left="136" w:right="1978"/>
      </w:pPr>
      <w:r>
        <w:t>ES 1: Použití jako palivo - spotřební ES 2: Použití jako palivo - odborné</w:t>
      </w:r>
    </w:p>
    <w:p w:rsidR="00BF612A" w:rsidRDefault="003E52AB">
      <w:pPr>
        <w:pStyle w:val="Zkladntext"/>
        <w:spacing w:before="62"/>
        <w:ind w:left="136" w:right="208"/>
      </w:pPr>
      <w:r>
        <w:t>Výrobek není určen jako palivo do motorů a/nebo k výrobě tepla.</w:t>
      </w:r>
    </w:p>
    <w:p w:rsidR="00BF612A" w:rsidRDefault="003E52AB">
      <w:pPr>
        <w:pStyle w:val="Zkladntext"/>
        <w:spacing w:before="33"/>
        <w:ind w:left="136"/>
      </w:pPr>
      <w:r>
        <w:t>Zpracovával registrant</w:t>
      </w:r>
    </w:p>
    <w:p w:rsidR="00BF612A" w:rsidRDefault="00BF612A">
      <w:pPr>
        <w:pStyle w:val="Zkladntext"/>
        <w:ind w:left="0"/>
        <w:rPr>
          <w:sz w:val="20"/>
        </w:rPr>
      </w:pPr>
    </w:p>
    <w:p w:rsidR="00BF612A" w:rsidRDefault="00BF612A">
      <w:pPr>
        <w:pStyle w:val="Zkladntext"/>
        <w:ind w:left="0"/>
        <w:rPr>
          <w:sz w:val="20"/>
        </w:rPr>
      </w:pPr>
    </w:p>
    <w:p w:rsidR="00BF612A" w:rsidRDefault="00BF612A">
      <w:pPr>
        <w:pStyle w:val="Zkladntext"/>
        <w:spacing w:before="5"/>
        <w:ind w:left="0"/>
        <w:rPr>
          <w:sz w:val="17"/>
        </w:rPr>
      </w:pPr>
    </w:p>
    <w:p w:rsidR="00BF612A" w:rsidRDefault="003E52AB">
      <w:pPr>
        <w:pStyle w:val="Zkladntext"/>
        <w:spacing w:before="1"/>
        <w:ind w:left="136"/>
      </w:pPr>
      <w:r>
        <w:t>BARVY A LAKY HOSTIVAŘ a.s.</w:t>
      </w:r>
    </w:p>
    <w:p w:rsidR="00BF612A" w:rsidRDefault="003E52AB">
      <w:pPr>
        <w:pStyle w:val="Zkladntext"/>
        <w:spacing w:before="33"/>
        <w:ind w:left="136"/>
      </w:pPr>
      <w:r>
        <w:t>Průmyslová 1472/11, Praha 10, 102 00</w:t>
      </w:r>
    </w:p>
    <w:p w:rsidR="00BF612A" w:rsidRDefault="003E52AB">
      <w:pPr>
        <w:pStyle w:val="Zkladntext"/>
        <w:spacing w:before="33"/>
        <w:ind w:left="136"/>
      </w:pPr>
      <w:r>
        <w:t>Česká republika</w:t>
      </w:r>
    </w:p>
    <w:p w:rsidR="00BF612A" w:rsidRDefault="003E52AB">
      <w:pPr>
        <w:pStyle w:val="Zkladntext"/>
        <w:spacing w:before="33"/>
        <w:ind w:left="136"/>
      </w:pPr>
      <w:r>
        <w:t>+420 271 084 211</w:t>
      </w:r>
    </w:p>
    <w:p w:rsidR="00BF612A" w:rsidRDefault="003E52AB">
      <w:pPr>
        <w:pStyle w:val="Zkladntext"/>
        <w:spacing w:before="32"/>
        <w:ind w:left="136"/>
      </w:pPr>
      <w:r>
        <w:t>+420 272 706 091</w:t>
      </w:r>
    </w:p>
    <w:p w:rsidR="00BF612A" w:rsidRDefault="003E52AB">
      <w:pPr>
        <w:pStyle w:val="Zkladntext"/>
        <w:spacing w:before="33" w:line="280" w:lineRule="auto"/>
        <w:ind w:left="136" w:right="3956"/>
      </w:pPr>
      <w:hyperlink r:id="rId9">
        <w:r>
          <w:t>bal@bal.cz</w:t>
        </w:r>
      </w:hyperlink>
      <w:r>
        <w:t xml:space="preserve"> </w:t>
      </w:r>
      <w:hyperlink r:id="rId10">
        <w:r>
          <w:t>www.bal.cz</w:t>
        </w:r>
      </w:hyperlink>
    </w:p>
    <w:p w:rsidR="00BF612A" w:rsidRDefault="00BF612A">
      <w:pPr>
        <w:spacing w:line="280" w:lineRule="auto"/>
        <w:sectPr w:rsidR="00BF612A">
          <w:type w:val="continuous"/>
          <w:pgSz w:w="11900" w:h="16840"/>
          <w:pgMar w:top="860" w:right="700" w:bottom="1520" w:left="720" w:header="708" w:footer="708" w:gutter="0"/>
          <w:cols w:num="2" w:space="708" w:equalWidth="0">
            <w:col w:w="5299" w:space="152"/>
            <w:col w:w="5029"/>
          </w:cols>
        </w:sectPr>
      </w:pPr>
    </w:p>
    <w:p w:rsidR="00BF612A" w:rsidRDefault="00BF612A">
      <w:pPr>
        <w:pStyle w:val="Zkladntext"/>
        <w:spacing w:before="4"/>
        <w:ind w:left="0"/>
        <w:rPr>
          <w:sz w:val="13"/>
        </w:rPr>
      </w:pPr>
    </w:p>
    <w:p w:rsidR="00BF612A" w:rsidRDefault="003E52AB">
      <w:pPr>
        <w:pStyle w:val="Nadpis4"/>
        <w:spacing w:line="193" w:lineRule="exact"/>
      </w:pPr>
      <w:r>
        <w:t>Adresa elektronické pošty odborně způsobilé osoby odpovědné za bezpečnostní list</w:t>
      </w:r>
    </w:p>
    <w:p w:rsidR="00BF612A" w:rsidRDefault="00BF612A">
      <w:pPr>
        <w:spacing w:line="193" w:lineRule="exact"/>
        <w:sectPr w:rsidR="00BF612A">
          <w:type w:val="continuous"/>
          <w:pgSz w:w="11900" w:h="16840"/>
          <w:pgMar w:top="860" w:right="700" w:bottom="1520" w:left="720" w:header="708" w:footer="708" w:gutter="0"/>
          <w:cols w:space="708"/>
        </w:sectPr>
      </w:pPr>
    </w:p>
    <w:p w:rsidR="00BF612A" w:rsidRDefault="003E52AB">
      <w:pPr>
        <w:pStyle w:val="Zkladntext"/>
        <w:spacing w:before="35" w:line="280" w:lineRule="auto"/>
        <w:ind w:left="1275" w:right="2208"/>
      </w:pPr>
      <w:r>
        <w:t>Jméno Email</w:t>
      </w:r>
    </w:p>
    <w:p w:rsidR="00BF612A" w:rsidRDefault="003E52AB">
      <w:pPr>
        <w:pStyle w:val="Nadpis4"/>
        <w:numPr>
          <w:ilvl w:val="1"/>
          <w:numId w:val="12"/>
        </w:numPr>
        <w:tabs>
          <w:tab w:val="left" w:pos="787"/>
          <w:tab w:val="left" w:pos="788"/>
        </w:tabs>
        <w:spacing w:before="0"/>
        <w:ind w:hanging="651"/>
      </w:pPr>
      <w:r>
        <w:t>Telefonní číslo pro naléhavé</w:t>
      </w:r>
      <w:r>
        <w:rPr>
          <w:spacing w:val="15"/>
        </w:rPr>
        <w:t xml:space="preserve"> </w:t>
      </w:r>
      <w:r>
        <w:t>situace</w:t>
      </w:r>
    </w:p>
    <w:p w:rsidR="00BF612A" w:rsidRDefault="003E52AB">
      <w:pPr>
        <w:pStyle w:val="Zkladntext"/>
        <w:spacing w:before="1" w:line="280" w:lineRule="auto"/>
        <w:ind w:left="136" w:right="2417"/>
      </w:pPr>
      <w:r>
        <w:br w:type="column"/>
      </w:r>
      <w:r>
        <w:t xml:space="preserve">Ing. Štěpánka Nováková </w:t>
      </w:r>
      <w:hyperlink r:id="rId11">
        <w:r>
          <w:t>stepanka.novakova@teluria.cz</w:t>
        </w:r>
      </w:hyperlink>
    </w:p>
    <w:p w:rsidR="00BF612A" w:rsidRDefault="00BF612A">
      <w:pPr>
        <w:spacing w:line="280" w:lineRule="auto"/>
        <w:sectPr w:rsidR="00BF612A">
          <w:type w:val="continuous"/>
          <w:pgSz w:w="11900" w:h="16840"/>
          <w:pgMar w:top="860" w:right="700" w:bottom="1520" w:left="720" w:header="708" w:footer="708" w:gutter="0"/>
          <w:cols w:num="2" w:space="708" w:equalWidth="0">
            <w:col w:w="4026" w:space="1424"/>
            <w:col w:w="5030"/>
          </w:cols>
        </w:sectPr>
      </w:pPr>
    </w:p>
    <w:p w:rsidR="00BF612A" w:rsidRDefault="003E52AB">
      <w:pPr>
        <w:pStyle w:val="Zkladntext"/>
        <w:spacing w:before="32"/>
      </w:pPr>
      <w:r>
        <w:pict>
          <v:group id="_x0000_s1075" style="position:absolute;left:0;text-align:left;margin-left:41pt;margin-top:26.8pt;width:513.3pt;height:.8pt;z-index:251647488;mso-wrap-distance-left:0;mso-wrap-distance-right:0;mso-position-horizontal-relative:page" coordorigin="820,536" coordsize="10266,16">
            <v:line id="_x0000_s1077" style="position:absolute" from="1479,544" to="11078,544" strokeweight=".266mm"/>
            <v:line id="_x0000_s1076" style="position:absolute" from="828,544" to="1479,544" strokeweight=".266mm"/>
            <w10:wrap type="topAndBottom" anchorx="page"/>
          </v:group>
        </w:pict>
      </w:r>
      <w:r>
        <w:t>Toxikologické informační středisko, Na Bojišti 1, Praha, Tel.: nepřetržitě 224 919 293 nebo 224 915 402, Informace pouze pro zdravotní rizika – akutní otravy lidí a zvířat</w:t>
      </w:r>
    </w:p>
    <w:p w:rsidR="00BF612A" w:rsidRDefault="003E52AB">
      <w:pPr>
        <w:pStyle w:val="Nadpis4"/>
        <w:spacing w:before="16"/>
        <w:ind w:left="136"/>
      </w:pPr>
      <w:bookmarkStart w:id="1" w:name="2._Identifikace_nebezpečnosti"/>
      <w:bookmarkEnd w:id="1"/>
      <w:r>
        <w:t>ODDÍL 2: Identifikace nebezpečnosti</w:t>
      </w:r>
    </w:p>
    <w:p w:rsidR="00BF612A" w:rsidRDefault="003E52AB">
      <w:pPr>
        <w:pStyle w:val="Odstavecseseznamem"/>
        <w:numPr>
          <w:ilvl w:val="1"/>
          <w:numId w:val="11"/>
        </w:numPr>
        <w:tabs>
          <w:tab w:val="left" w:pos="787"/>
          <w:tab w:val="left" w:pos="788"/>
        </w:tabs>
        <w:spacing w:before="33"/>
        <w:ind w:hanging="651"/>
        <w:rPr>
          <w:b/>
          <w:sz w:val="16"/>
        </w:rPr>
      </w:pPr>
      <w:r>
        <w:rPr>
          <w:b/>
          <w:sz w:val="16"/>
        </w:rPr>
        <w:t>Klasifikace látky nebo</w:t>
      </w:r>
      <w:r>
        <w:rPr>
          <w:b/>
          <w:spacing w:val="11"/>
          <w:sz w:val="16"/>
        </w:rPr>
        <w:t xml:space="preserve"> </w:t>
      </w:r>
      <w:r>
        <w:rPr>
          <w:b/>
          <w:sz w:val="16"/>
        </w:rPr>
        <w:t>směsi</w:t>
      </w:r>
    </w:p>
    <w:p w:rsidR="00BF612A" w:rsidRDefault="003E52AB">
      <w:pPr>
        <w:spacing w:before="33"/>
        <w:ind w:left="787"/>
        <w:rPr>
          <w:b/>
          <w:sz w:val="16"/>
        </w:rPr>
      </w:pPr>
      <w:r>
        <w:rPr>
          <w:b/>
          <w:sz w:val="16"/>
        </w:rPr>
        <w:t>Klasifikace látky podle nařízení (ES) č. 1272/2008</w:t>
      </w:r>
    </w:p>
    <w:p w:rsidR="00BF612A" w:rsidRDefault="003E52AB">
      <w:pPr>
        <w:pStyle w:val="Zkladntext"/>
        <w:spacing w:before="33"/>
      </w:pPr>
      <w:r>
        <w:t>Látka je klasifikována jako nebezpečná.</w:t>
      </w:r>
    </w:p>
    <w:p w:rsidR="00BF612A" w:rsidRDefault="00BF612A">
      <w:pPr>
        <w:pStyle w:val="Zkladntext"/>
        <w:spacing w:before="2"/>
        <w:ind w:left="0"/>
        <w:rPr>
          <w:sz w:val="13"/>
        </w:rPr>
      </w:pPr>
    </w:p>
    <w:p w:rsidR="00BF612A" w:rsidRDefault="003E52AB">
      <w:pPr>
        <w:pStyle w:val="Zkladntext"/>
        <w:spacing w:before="101"/>
      </w:pPr>
      <w:r>
        <w:t>Asp. Tox. 1, H304</w:t>
      </w:r>
    </w:p>
    <w:p w:rsidR="00BF612A" w:rsidRDefault="00BF612A">
      <w:pPr>
        <w:pStyle w:val="Zkladntext"/>
        <w:spacing w:before="11"/>
        <w:ind w:left="0"/>
        <w:rPr>
          <w:sz w:val="14"/>
        </w:rPr>
      </w:pPr>
    </w:p>
    <w:p w:rsidR="00BF612A" w:rsidRDefault="003E52AB">
      <w:pPr>
        <w:pStyle w:val="Zkladntext"/>
      </w:pPr>
      <w:r>
        <w:t>Plný text všech klasifikací a H-vět je uveden v oddíle 16.</w:t>
      </w:r>
    </w:p>
    <w:p w:rsidR="00BF612A" w:rsidRDefault="00BF612A">
      <w:pPr>
        <w:pStyle w:val="Zkladntext"/>
        <w:spacing w:before="11"/>
        <w:ind w:left="0"/>
        <w:rPr>
          <w:sz w:val="14"/>
        </w:rPr>
      </w:pPr>
    </w:p>
    <w:p w:rsidR="00BF612A" w:rsidRDefault="003E52AB">
      <w:pPr>
        <w:pStyle w:val="Nadpis4"/>
        <w:spacing w:before="0"/>
      </w:pPr>
      <w:r>
        <w:t>Nejzávažnější nepříznivé fyzikálně-chemické účinky</w:t>
      </w:r>
    </w:p>
    <w:p w:rsidR="00BF612A" w:rsidRDefault="003E52AB">
      <w:pPr>
        <w:pStyle w:val="Zkladntext"/>
        <w:spacing w:before="33"/>
      </w:pPr>
      <w:r>
        <w:t>Nejsou známy</w:t>
      </w:r>
    </w:p>
    <w:p w:rsidR="00BF612A" w:rsidRDefault="003E52AB">
      <w:pPr>
        <w:pStyle w:val="Nadpis4"/>
        <w:spacing w:before="33"/>
      </w:pPr>
      <w:r>
        <w:t>Nejzávažnější nepříznivé účinky na lidské zdraví a životní prostředí</w:t>
      </w:r>
    </w:p>
    <w:p w:rsidR="00BF612A" w:rsidRDefault="003E52AB">
      <w:pPr>
        <w:pStyle w:val="Zkladntext"/>
        <w:spacing w:before="33"/>
      </w:pPr>
      <w:r>
        <w:t>Při požití a vniknutí do dýchacích cest může způsobit smrt.</w:t>
      </w:r>
    </w:p>
    <w:p w:rsidR="00BF612A" w:rsidRDefault="00BF612A">
      <w:pPr>
        <w:sectPr w:rsidR="00BF612A">
          <w:type w:val="continuous"/>
          <w:pgSz w:w="11900" w:h="16840"/>
          <w:pgMar w:top="860" w:right="700" w:bottom="1520" w:left="720" w:header="708" w:footer="708" w:gutter="0"/>
          <w:cols w:space="708"/>
        </w:sectPr>
      </w:pPr>
    </w:p>
    <w:p w:rsidR="00BF612A" w:rsidRDefault="003E52AB">
      <w:pPr>
        <w:pStyle w:val="Nadpis4"/>
        <w:numPr>
          <w:ilvl w:val="1"/>
          <w:numId w:val="11"/>
        </w:numPr>
        <w:tabs>
          <w:tab w:val="left" w:pos="787"/>
          <w:tab w:val="left" w:pos="788"/>
        </w:tabs>
        <w:spacing w:before="67"/>
        <w:ind w:hanging="651"/>
      </w:pPr>
      <w:r>
        <w:lastRenderedPageBreak/>
        <w:t>Prvky</w:t>
      </w:r>
      <w:r>
        <w:rPr>
          <w:spacing w:val="6"/>
        </w:rPr>
        <w:t xml:space="preserve"> </w:t>
      </w:r>
      <w:r>
        <w:t>označení</w:t>
      </w:r>
    </w:p>
    <w:p w:rsidR="00BF612A" w:rsidRDefault="003E52AB">
      <w:pPr>
        <w:spacing w:before="32"/>
        <w:ind w:left="787"/>
        <w:rPr>
          <w:b/>
          <w:sz w:val="16"/>
        </w:rPr>
      </w:pPr>
      <w:r>
        <w:rPr>
          <w:noProof/>
        </w:rPr>
        <w:drawing>
          <wp:anchor distT="0" distB="0" distL="0" distR="0" simplePos="0" relativeHeight="251646464" behindDoc="0" locked="0" layoutInCell="1" allowOverlap="1">
            <wp:simplePos x="0" y="0"/>
            <wp:positionH relativeFrom="page">
              <wp:posOffset>957393</wp:posOffset>
            </wp:positionH>
            <wp:positionV relativeFrom="paragraph">
              <wp:posOffset>163214</wp:posOffset>
            </wp:positionV>
            <wp:extent cx="742941" cy="7429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742941" cy="742950"/>
                    </a:xfrm>
                    <a:prstGeom prst="rect">
                      <a:avLst/>
                    </a:prstGeom>
                  </pic:spPr>
                </pic:pic>
              </a:graphicData>
            </a:graphic>
          </wp:anchor>
        </w:drawing>
      </w:r>
      <w:r>
        <w:rPr>
          <w:b/>
          <w:sz w:val="16"/>
        </w:rPr>
        <w:t>Výstražný symbol nebezpečnosti</w:t>
      </w:r>
    </w:p>
    <w:p w:rsidR="00BF612A" w:rsidRDefault="003E52AB">
      <w:pPr>
        <w:spacing w:before="57"/>
        <w:ind w:left="787"/>
        <w:rPr>
          <w:b/>
          <w:sz w:val="16"/>
        </w:rPr>
      </w:pPr>
      <w:r>
        <w:rPr>
          <w:b/>
          <w:sz w:val="16"/>
        </w:rPr>
        <w:t>Signální slovo</w:t>
      </w:r>
    </w:p>
    <w:p w:rsidR="00BF612A" w:rsidRDefault="003E52AB">
      <w:pPr>
        <w:pStyle w:val="Zkladntext"/>
        <w:spacing w:before="33"/>
      </w:pPr>
      <w:r>
        <w:t>Nebezpečí</w:t>
      </w:r>
    </w:p>
    <w:p w:rsidR="00BF612A" w:rsidRDefault="00BF612A">
      <w:pPr>
        <w:pStyle w:val="Zkladntext"/>
        <w:spacing w:before="10"/>
        <w:ind w:left="0"/>
        <w:rPr>
          <w:sz w:val="18"/>
        </w:rPr>
      </w:pPr>
    </w:p>
    <w:p w:rsidR="00BF612A" w:rsidRDefault="003E52AB">
      <w:pPr>
        <w:pStyle w:val="Nadpis4"/>
      </w:pPr>
      <w:r>
        <w:t>Nebezpečná látka</w:t>
      </w:r>
    </w:p>
    <w:p w:rsidR="00BF612A" w:rsidRDefault="003E52AB">
      <w:pPr>
        <w:pStyle w:val="Zkladntext"/>
        <w:spacing w:before="33"/>
      </w:pPr>
      <w:r>
        <w:t>Uhlovodíky, C11-C14, n-alkany, isoalkany, cyklické, &lt; 2% aromátů (ES: 926-141-6)</w:t>
      </w:r>
    </w:p>
    <w:p w:rsidR="00BF612A" w:rsidRDefault="003E52AB">
      <w:pPr>
        <w:pStyle w:val="Nadpis4"/>
        <w:spacing w:before="33"/>
      </w:pPr>
      <w:r>
        <w:t>Standardní věty o nebezpečnosti</w:t>
      </w:r>
    </w:p>
    <w:p w:rsidR="00BF612A" w:rsidRDefault="003E52AB">
      <w:pPr>
        <w:pStyle w:val="Zkladntext"/>
        <w:tabs>
          <w:tab w:val="left" w:pos="2589"/>
        </w:tabs>
        <w:spacing w:before="17"/>
      </w:pPr>
      <w:r>
        <w:t>H304</w:t>
      </w:r>
      <w:r>
        <w:tab/>
        <w:t>Při požití a vniknutí do dýchacích cest může způsobit</w:t>
      </w:r>
      <w:r>
        <w:rPr>
          <w:spacing w:val="21"/>
        </w:rPr>
        <w:t xml:space="preserve"> </w:t>
      </w:r>
      <w:r>
        <w:t>smrt.</w:t>
      </w:r>
    </w:p>
    <w:p w:rsidR="00BF612A" w:rsidRDefault="003E52AB">
      <w:pPr>
        <w:pStyle w:val="Nadpis4"/>
        <w:spacing w:before="49"/>
      </w:pPr>
      <w:r>
        <w:t>Pokyny pro bezpečné zacházení</w:t>
      </w:r>
    </w:p>
    <w:p w:rsidR="00BF612A" w:rsidRDefault="00BF612A">
      <w:pPr>
        <w:sectPr w:rsidR="00BF612A" w:rsidSect="003E52AB">
          <w:pgSz w:w="11900" w:h="16840"/>
          <w:pgMar w:top="860" w:right="700" w:bottom="1520" w:left="720" w:header="850" w:footer="567" w:gutter="0"/>
          <w:cols w:space="708"/>
          <w:docGrid w:linePitch="299"/>
        </w:sectPr>
      </w:pPr>
    </w:p>
    <w:p w:rsidR="00BF612A" w:rsidRDefault="003E52AB">
      <w:pPr>
        <w:pStyle w:val="Zkladntext"/>
        <w:spacing w:before="17" w:line="280" w:lineRule="auto"/>
        <w:ind w:right="1068"/>
        <w:jc w:val="center"/>
      </w:pPr>
      <w:r>
        <w:t>P101 P102</w:t>
      </w:r>
    </w:p>
    <w:p w:rsidR="00BF612A" w:rsidRDefault="003E52AB">
      <w:pPr>
        <w:pStyle w:val="Zkladntext"/>
        <w:spacing w:line="280" w:lineRule="auto"/>
        <w:ind w:right="-12"/>
      </w:pPr>
      <w:r>
        <w:t>P301+P310 P305+P351+P338</w:t>
      </w:r>
    </w:p>
    <w:p w:rsidR="00BF612A" w:rsidRDefault="00BF612A">
      <w:pPr>
        <w:pStyle w:val="Zkladntext"/>
        <w:spacing w:before="11"/>
        <w:ind w:left="0"/>
        <w:rPr>
          <w:sz w:val="15"/>
        </w:rPr>
      </w:pPr>
    </w:p>
    <w:p w:rsidR="00BF612A" w:rsidRDefault="003E52AB">
      <w:pPr>
        <w:pStyle w:val="Zkladntext"/>
        <w:spacing w:line="280" w:lineRule="auto"/>
        <w:ind w:right="1068"/>
        <w:jc w:val="both"/>
      </w:pPr>
      <w:r>
        <w:t>P331 P405 P501</w:t>
      </w:r>
    </w:p>
    <w:p w:rsidR="00BF612A" w:rsidRDefault="003E52AB">
      <w:pPr>
        <w:pStyle w:val="Zkladntext"/>
        <w:spacing w:before="17" w:line="280" w:lineRule="auto"/>
        <w:ind w:left="287" w:right="1409"/>
      </w:pPr>
      <w:r>
        <w:br w:type="column"/>
      </w:r>
      <w:r>
        <w:t>Je-li nutná lékařská pomoc, mějte po ruce obal nebo štítek výrobku. Uchovávejte mimo dosah dětí.</w:t>
      </w:r>
    </w:p>
    <w:p w:rsidR="00BF612A" w:rsidRDefault="003E52AB">
      <w:pPr>
        <w:pStyle w:val="Zkladntext"/>
        <w:ind w:left="287"/>
      </w:pPr>
      <w:r>
        <w:t>PŘI POŽITÍ: Okamžitě volejte TOXIKOLOGICKÉ INFORMAČNÍ STŘEDISKO/lékaře.</w:t>
      </w:r>
    </w:p>
    <w:p w:rsidR="00BF612A" w:rsidRDefault="003E52AB">
      <w:pPr>
        <w:pStyle w:val="Zkladntext"/>
        <w:spacing w:before="33"/>
        <w:ind w:left="287" w:right="715"/>
      </w:pPr>
      <w:r>
        <w:t>PŘI ZASAŽENÍ OČÍ: Několik minut opatrně vyplachujte vodou. Vyjměte kontaktní čočky, jsou-li nasazeny a pokud je lze vyjmout snadno. Pokračujte ve vyplachování.</w:t>
      </w:r>
    </w:p>
    <w:p w:rsidR="00BF612A" w:rsidRDefault="003E52AB">
      <w:pPr>
        <w:pStyle w:val="Zkladntext"/>
        <w:spacing w:before="32" w:line="280" w:lineRule="auto"/>
        <w:ind w:left="287" w:right="5744"/>
      </w:pPr>
      <w:r>
        <w:t>NEVYVOLÁVEJTE zvracení. Skladujte uzamčené.</w:t>
      </w:r>
    </w:p>
    <w:p w:rsidR="00BF612A" w:rsidRDefault="003E52AB">
      <w:pPr>
        <w:pStyle w:val="Zkladntext"/>
        <w:ind w:left="287" w:right="19"/>
      </w:pPr>
      <w:r>
        <w:t>Odstraňte obsah/obal v souladu s místními předpisy předáním osobě oprávněné k likvidaci odpadů nebo na místo určené obcí.</w:t>
      </w:r>
    </w:p>
    <w:p w:rsidR="00BF612A" w:rsidRDefault="00BF612A">
      <w:pPr>
        <w:sectPr w:rsidR="00BF612A">
          <w:type w:val="continuous"/>
          <w:pgSz w:w="11900" w:h="16840"/>
          <w:pgMar w:top="860" w:right="700" w:bottom="1520" w:left="720" w:header="708" w:footer="708" w:gutter="0"/>
          <w:cols w:num="2" w:space="708" w:equalWidth="0">
            <w:col w:w="2262" w:space="40"/>
            <w:col w:w="8178"/>
          </w:cols>
        </w:sectPr>
      </w:pPr>
    </w:p>
    <w:p w:rsidR="00BF612A" w:rsidRDefault="003E52AB">
      <w:pPr>
        <w:pStyle w:val="Nadpis4"/>
        <w:spacing w:before="47"/>
      </w:pPr>
      <w:r>
        <w:t>Doplňující informace</w:t>
      </w:r>
    </w:p>
    <w:p w:rsidR="00BF612A" w:rsidRDefault="00BF612A">
      <w:pPr>
        <w:sectPr w:rsidR="00BF612A">
          <w:type w:val="continuous"/>
          <w:pgSz w:w="11900" w:h="16840"/>
          <w:pgMar w:top="860" w:right="700" w:bottom="1520" w:left="720" w:header="708" w:footer="708" w:gutter="0"/>
          <w:cols w:space="708"/>
        </w:sectPr>
      </w:pPr>
    </w:p>
    <w:p w:rsidR="00BF612A" w:rsidRDefault="003E52AB">
      <w:pPr>
        <w:pStyle w:val="Zkladntext"/>
        <w:spacing w:before="16"/>
      </w:pPr>
      <w:r>
        <w:t>EUH 066</w:t>
      </w:r>
    </w:p>
    <w:p w:rsidR="00BF612A" w:rsidRDefault="003E52AB">
      <w:pPr>
        <w:pStyle w:val="Zkladntext"/>
        <w:spacing w:before="16"/>
      </w:pPr>
      <w:r>
        <w:br w:type="column"/>
      </w:r>
      <w:r>
        <w:t>Opakovaná expozice může způsobit vysušení nebo popraskání kůže.</w:t>
      </w:r>
    </w:p>
    <w:p w:rsidR="00BF612A" w:rsidRDefault="003E52AB">
      <w:pPr>
        <w:pStyle w:val="Zkladntext"/>
        <w:spacing w:before="32"/>
      </w:pPr>
      <w:r>
        <w:t>Jediný doušek podpalovače grilu může vést k život ohrožujícímu poškození plic.</w:t>
      </w:r>
    </w:p>
    <w:p w:rsidR="00BF612A" w:rsidRDefault="00BF612A">
      <w:pPr>
        <w:sectPr w:rsidR="00BF612A">
          <w:type w:val="continuous"/>
          <w:pgSz w:w="11900" w:h="16840"/>
          <w:pgMar w:top="860" w:right="700" w:bottom="1520" w:left="720" w:header="708" w:footer="708" w:gutter="0"/>
          <w:cols w:num="2" w:space="708" w:equalWidth="0">
            <w:col w:w="1492" w:space="310"/>
            <w:col w:w="8678"/>
          </w:cols>
        </w:sectPr>
      </w:pPr>
    </w:p>
    <w:p w:rsidR="00BF612A" w:rsidRDefault="003E52AB">
      <w:pPr>
        <w:pStyle w:val="Nadpis4"/>
        <w:spacing w:before="49"/>
      </w:pPr>
      <w:r>
        <w:t>Požadavky na uzávěry odolné proti otevření dětmi a hmatatelné výstrahy</w:t>
      </w:r>
    </w:p>
    <w:p w:rsidR="00BF612A" w:rsidRDefault="003E52AB">
      <w:pPr>
        <w:pStyle w:val="Zkladntext"/>
        <w:spacing w:before="32"/>
        <w:ind w:right="238"/>
      </w:pPr>
      <w:r>
        <w:t>Obal musí být opatřen hmatatelnou výstrahou pro nevidomé. Obal musí být opatřen uzávěrem odolným proti otevření dětmi.</w:t>
      </w:r>
    </w:p>
    <w:p w:rsidR="00BF612A" w:rsidRDefault="003E52AB">
      <w:pPr>
        <w:pStyle w:val="Nadpis4"/>
        <w:numPr>
          <w:ilvl w:val="1"/>
          <w:numId w:val="11"/>
        </w:numPr>
        <w:tabs>
          <w:tab w:val="left" w:pos="787"/>
          <w:tab w:val="left" w:pos="788"/>
        </w:tabs>
        <w:spacing w:before="32"/>
        <w:ind w:hanging="651"/>
      </w:pPr>
      <w:r>
        <w:t>Další</w:t>
      </w:r>
      <w:r>
        <w:rPr>
          <w:spacing w:val="8"/>
        </w:rPr>
        <w:t xml:space="preserve"> </w:t>
      </w:r>
      <w:r>
        <w:t>nebezpečnost</w:t>
      </w:r>
    </w:p>
    <w:p w:rsidR="00BF612A" w:rsidRDefault="003E52AB">
      <w:pPr>
        <w:pStyle w:val="Zkladntext"/>
        <w:spacing w:before="18" w:line="242" w:lineRule="auto"/>
      </w:pPr>
      <w:r>
        <w:pict>
          <v:line id="_x0000_s1074" style="position:absolute;left:0;text-align:left;z-index:251648512;mso-wrap-distance-left:0;mso-wrap-distance-right:0;mso-position-horizontal-relative:page" from="41.4pt,27.2pt" to="553.9pt,27.2pt" strokeweight=".266mm">
            <w10:wrap type="topAndBottom" anchorx="page"/>
          </v:line>
        </w:pict>
      </w:r>
      <w:r>
        <w:t>Látka nesplňuje kritéria pro látky PBT nebo vPvB v souladu s přílohou XIII, nařízení (ES) č. 1907/2006 (REACH) v platném znění.</w:t>
      </w:r>
    </w:p>
    <w:p w:rsidR="00BF612A" w:rsidRDefault="003E52AB">
      <w:pPr>
        <w:pStyle w:val="Nadpis4"/>
        <w:spacing w:before="16"/>
        <w:ind w:left="136"/>
      </w:pPr>
      <w:bookmarkStart w:id="2" w:name="3._Složení/informace_o_složkách"/>
      <w:bookmarkEnd w:id="2"/>
      <w:r>
        <w:t>ODDÍL 3: Složení/informace o složkách</w:t>
      </w:r>
    </w:p>
    <w:p w:rsidR="00BF612A" w:rsidRDefault="003E52AB">
      <w:pPr>
        <w:tabs>
          <w:tab w:val="left" w:pos="787"/>
        </w:tabs>
        <w:spacing w:before="33"/>
        <w:ind w:left="136"/>
        <w:rPr>
          <w:b/>
          <w:sz w:val="16"/>
        </w:rPr>
      </w:pPr>
      <w:r>
        <w:rPr>
          <w:b/>
          <w:sz w:val="16"/>
        </w:rPr>
        <w:t>3.1</w:t>
      </w:r>
      <w:r>
        <w:rPr>
          <w:b/>
          <w:sz w:val="16"/>
        </w:rPr>
        <w:tab/>
        <w:t>Látky</w:t>
      </w:r>
    </w:p>
    <w:p w:rsidR="00BF612A" w:rsidRDefault="003E52AB">
      <w:pPr>
        <w:spacing w:before="33"/>
        <w:ind w:left="787"/>
        <w:rPr>
          <w:b/>
          <w:sz w:val="16"/>
        </w:rPr>
      </w:pPr>
      <w:r>
        <w:rPr>
          <w:b/>
          <w:sz w:val="16"/>
        </w:rPr>
        <w:t>Chemická charakteristika</w:t>
      </w:r>
    </w:p>
    <w:p w:rsidR="00BF612A" w:rsidRDefault="003E52AB">
      <w:pPr>
        <w:pStyle w:val="Zkladntext"/>
        <w:spacing w:before="34"/>
        <w:ind w:right="238"/>
      </w:pPr>
      <w:r>
        <w:t>Složitá, variabilní kombinace parafinických a cyklických uhlovodíků, převážně s obsahem uhlovodíků C11 až C</w:t>
      </w:r>
      <w:proofErr w:type="gramStart"/>
      <w:r>
        <w:t>14 ,</w:t>
      </w:r>
      <w:proofErr w:type="gramEnd"/>
      <w:r>
        <w:t xml:space="preserve"> vroucí v rozmezí cca 180 až 270 ° C. Obsah aromátů je &lt; 2%.</w:t>
      </w:r>
    </w:p>
    <w:p w:rsidR="00BF612A" w:rsidRDefault="00BF612A">
      <w:pPr>
        <w:pStyle w:val="Zkladntext"/>
        <w:spacing w:before="5" w:after="1"/>
        <w:ind w:left="0"/>
        <w:rPr>
          <w:sz w:val="17"/>
        </w:rPr>
      </w:pPr>
    </w:p>
    <w:tbl>
      <w:tblPr>
        <w:tblStyle w:val="TableNormal"/>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47"/>
        <w:gridCol w:w="3741"/>
        <w:gridCol w:w="843"/>
        <w:gridCol w:w="2969"/>
        <w:gridCol w:w="729"/>
      </w:tblGrid>
      <w:tr w:rsidR="00BF612A">
        <w:trPr>
          <w:trHeight w:hRule="exact" w:val="830"/>
        </w:trPr>
        <w:tc>
          <w:tcPr>
            <w:tcW w:w="1947" w:type="dxa"/>
            <w:shd w:val="clear" w:color="auto" w:fill="D2D2D2"/>
          </w:tcPr>
          <w:p w:rsidR="00BF612A" w:rsidRDefault="00BF612A">
            <w:pPr>
              <w:pStyle w:val="TableParagraph"/>
              <w:spacing w:before="6"/>
              <w:ind w:left="0"/>
              <w:rPr>
                <w:rFonts w:ascii="Verdana"/>
                <w:sz w:val="25"/>
              </w:rPr>
            </w:pPr>
          </w:p>
          <w:p w:rsidR="00BF612A" w:rsidRDefault="003E52AB">
            <w:pPr>
              <w:pStyle w:val="TableParagraph"/>
              <w:ind w:left="278"/>
              <w:rPr>
                <w:rFonts w:ascii="Verdana" w:hAnsi="Verdana"/>
                <w:sz w:val="16"/>
              </w:rPr>
            </w:pPr>
            <w:r>
              <w:rPr>
                <w:rFonts w:ascii="Verdana" w:hAnsi="Verdana"/>
                <w:sz w:val="16"/>
              </w:rPr>
              <w:t>Identifikační čísla</w:t>
            </w:r>
          </w:p>
        </w:tc>
        <w:tc>
          <w:tcPr>
            <w:tcW w:w="3741" w:type="dxa"/>
            <w:shd w:val="clear" w:color="auto" w:fill="D2D2D2"/>
          </w:tcPr>
          <w:p w:rsidR="00BF612A" w:rsidRDefault="00BF612A">
            <w:pPr>
              <w:pStyle w:val="TableParagraph"/>
              <w:spacing w:before="6"/>
              <w:ind w:left="0"/>
              <w:rPr>
                <w:rFonts w:ascii="Verdana"/>
                <w:sz w:val="25"/>
              </w:rPr>
            </w:pPr>
          </w:p>
          <w:p w:rsidR="00BF612A" w:rsidRDefault="003E52AB">
            <w:pPr>
              <w:pStyle w:val="TableParagraph"/>
              <w:ind w:left="1387" w:right="1359"/>
              <w:jc w:val="center"/>
              <w:rPr>
                <w:rFonts w:ascii="Verdana" w:hAnsi="Verdana"/>
                <w:sz w:val="16"/>
              </w:rPr>
            </w:pPr>
            <w:r>
              <w:rPr>
                <w:rFonts w:ascii="Verdana" w:hAnsi="Verdana"/>
                <w:sz w:val="16"/>
              </w:rPr>
              <w:t>Název látky</w:t>
            </w:r>
          </w:p>
        </w:tc>
        <w:tc>
          <w:tcPr>
            <w:tcW w:w="843" w:type="dxa"/>
            <w:shd w:val="clear" w:color="auto" w:fill="D2D2D2"/>
          </w:tcPr>
          <w:p w:rsidR="00BF612A" w:rsidRDefault="003E52AB">
            <w:pPr>
              <w:pStyle w:val="TableParagraph"/>
              <w:spacing w:before="17"/>
              <w:ind w:left="42" w:right="14"/>
              <w:jc w:val="center"/>
              <w:rPr>
                <w:rFonts w:ascii="Verdana"/>
                <w:sz w:val="16"/>
              </w:rPr>
            </w:pPr>
            <w:r>
              <w:rPr>
                <w:rFonts w:ascii="Verdana"/>
                <w:sz w:val="16"/>
              </w:rPr>
              <w:t>Obsah v</w:t>
            </w:r>
          </w:p>
          <w:p w:rsidR="00BF612A" w:rsidRDefault="003E52AB">
            <w:pPr>
              <w:pStyle w:val="TableParagraph"/>
              <w:ind w:left="28"/>
              <w:jc w:val="center"/>
              <w:rPr>
                <w:rFonts w:ascii="Verdana"/>
                <w:sz w:val="16"/>
              </w:rPr>
            </w:pPr>
            <w:r>
              <w:rPr>
                <w:rFonts w:ascii="Verdana"/>
                <w:sz w:val="16"/>
              </w:rPr>
              <w:t>%</w:t>
            </w:r>
          </w:p>
          <w:p w:rsidR="00BF612A" w:rsidRDefault="003E52AB">
            <w:pPr>
              <w:pStyle w:val="TableParagraph"/>
              <w:ind w:left="45" w:right="14"/>
              <w:jc w:val="center"/>
              <w:rPr>
                <w:rFonts w:ascii="Verdana"/>
                <w:sz w:val="16"/>
              </w:rPr>
            </w:pPr>
            <w:r>
              <w:rPr>
                <w:rFonts w:ascii="Verdana"/>
                <w:sz w:val="16"/>
              </w:rPr>
              <w:t>hmotnost i</w:t>
            </w:r>
          </w:p>
        </w:tc>
        <w:tc>
          <w:tcPr>
            <w:tcW w:w="2969" w:type="dxa"/>
            <w:shd w:val="clear" w:color="auto" w:fill="D2D2D2"/>
          </w:tcPr>
          <w:p w:rsidR="00BF612A" w:rsidRDefault="00BF612A">
            <w:pPr>
              <w:pStyle w:val="TableParagraph"/>
              <w:spacing w:before="6"/>
              <w:ind w:left="0"/>
              <w:rPr>
                <w:rFonts w:ascii="Verdana"/>
                <w:sz w:val="17"/>
              </w:rPr>
            </w:pPr>
          </w:p>
          <w:p w:rsidR="00BF612A" w:rsidRDefault="003E52AB">
            <w:pPr>
              <w:pStyle w:val="TableParagraph"/>
              <w:ind w:left="249" w:right="221"/>
              <w:jc w:val="center"/>
              <w:rPr>
                <w:rFonts w:ascii="Verdana" w:hAnsi="Verdana"/>
                <w:sz w:val="16"/>
              </w:rPr>
            </w:pPr>
            <w:r>
              <w:rPr>
                <w:rFonts w:ascii="Verdana" w:hAnsi="Verdana"/>
                <w:sz w:val="16"/>
              </w:rPr>
              <w:t>Klasifikace dle nařízení (ES) č.</w:t>
            </w:r>
          </w:p>
          <w:p w:rsidR="00BF612A" w:rsidRDefault="003E52AB">
            <w:pPr>
              <w:pStyle w:val="TableParagraph"/>
              <w:spacing w:before="1"/>
              <w:ind w:left="249" w:right="221"/>
              <w:jc w:val="center"/>
              <w:rPr>
                <w:rFonts w:ascii="Verdana"/>
                <w:sz w:val="16"/>
              </w:rPr>
            </w:pPr>
            <w:r>
              <w:rPr>
                <w:rFonts w:ascii="Verdana"/>
                <w:sz w:val="16"/>
              </w:rPr>
              <w:t>1272/2008</w:t>
            </w:r>
          </w:p>
        </w:tc>
        <w:tc>
          <w:tcPr>
            <w:tcW w:w="729" w:type="dxa"/>
            <w:shd w:val="clear" w:color="auto" w:fill="D2D2D2"/>
          </w:tcPr>
          <w:p w:rsidR="00BF612A" w:rsidRDefault="00BF612A">
            <w:pPr>
              <w:pStyle w:val="TableParagraph"/>
              <w:spacing w:before="6"/>
              <w:ind w:left="0"/>
              <w:rPr>
                <w:rFonts w:ascii="Verdana"/>
                <w:sz w:val="25"/>
              </w:rPr>
            </w:pPr>
          </w:p>
          <w:p w:rsidR="00BF612A" w:rsidRDefault="003E52AB">
            <w:pPr>
              <w:pStyle w:val="TableParagraph"/>
              <w:ind w:left="151"/>
              <w:rPr>
                <w:rFonts w:ascii="Verdana"/>
                <w:sz w:val="16"/>
              </w:rPr>
            </w:pPr>
            <w:r>
              <w:rPr>
                <w:rFonts w:ascii="Verdana"/>
                <w:sz w:val="16"/>
              </w:rPr>
              <w:t>Pozn.</w:t>
            </w:r>
          </w:p>
        </w:tc>
      </w:tr>
      <w:tr w:rsidR="00BF612A">
        <w:trPr>
          <w:trHeight w:hRule="exact" w:val="284"/>
        </w:trPr>
        <w:tc>
          <w:tcPr>
            <w:tcW w:w="1947" w:type="dxa"/>
            <w:tcBorders>
              <w:bottom w:val="nil"/>
            </w:tcBorders>
          </w:tcPr>
          <w:p w:rsidR="00BF612A" w:rsidRDefault="00BF612A"/>
        </w:tc>
        <w:tc>
          <w:tcPr>
            <w:tcW w:w="3741" w:type="dxa"/>
            <w:tcBorders>
              <w:bottom w:val="nil"/>
            </w:tcBorders>
          </w:tcPr>
          <w:p w:rsidR="00BF612A" w:rsidRDefault="003E52AB">
            <w:pPr>
              <w:pStyle w:val="TableParagraph"/>
              <w:spacing w:before="45"/>
              <w:ind w:left="45"/>
              <w:rPr>
                <w:rFonts w:ascii="Verdana" w:hAnsi="Verdana"/>
                <w:b/>
                <w:sz w:val="16"/>
              </w:rPr>
            </w:pPr>
            <w:r>
              <w:rPr>
                <w:rFonts w:ascii="Verdana" w:hAnsi="Verdana"/>
                <w:b/>
                <w:sz w:val="16"/>
              </w:rPr>
              <w:t>hlavní složka látky</w:t>
            </w:r>
          </w:p>
        </w:tc>
        <w:tc>
          <w:tcPr>
            <w:tcW w:w="843" w:type="dxa"/>
            <w:tcBorders>
              <w:bottom w:val="nil"/>
            </w:tcBorders>
          </w:tcPr>
          <w:p w:rsidR="00BF612A" w:rsidRDefault="00BF612A"/>
        </w:tc>
        <w:tc>
          <w:tcPr>
            <w:tcW w:w="2969" w:type="dxa"/>
            <w:tcBorders>
              <w:bottom w:val="nil"/>
            </w:tcBorders>
          </w:tcPr>
          <w:p w:rsidR="00BF612A" w:rsidRDefault="00BF612A"/>
        </w:tc>
        <w:tc>
          <w:tcPr>
            <w:tcW w:w="729" w:type="dxa"/>
            <w:tcBorders>
              <w:bottom w:val="nil"/>
            </w:tcBorders>
          </w:tcPr>
          <w:p w:rsidR="00BF612A" w:rsidRDefault="00BF612A"/>
        </w:tc>
      </w:tr>
      <w:tr w:rsidR="00BF612A">
        <w:trPr>
          <w:trHeight w:hRule="exact" w:val="232"/>
        </w:trPr>
        <w:tc>
          <w:tcPr>
            <w:tcW w:w="1947" w:type="dxa"/>
            <w:tcBorders>
              <w:top w:val="nil"/>
              <w:bottom w:val="nil"/>
            </w:tcBorders>
          </w:tcPr>
          <w:p w:rsidR="00BF612A" w:rsidRDefault="003E52AB">
            <w:pPr>
              <w:pStyle w:val="TableParagraph"/>
              <w:spacing w:before="37"/>
              <w:ind w:left="39"/>
              <w:rPr>
                <w:rFonts w:ascii="Verdana"/>
                <w:sz w:val="16"/>
              </w:rPr>
            </w:pPr>
            <w:r>
              <w:rPr>
                <w:rFonts w:ascii="Verdana"/>
                <w:sz w:val="16"/>
              </w:rPr>
              <w:t>ES: 926-141-6</w:t>
            </w:r>
          </w:p>
        </w:tc>
        <w:tc>
          <w:tcPr>
            <w:tcW w:w="3741" w:type="dxa"/>
            <w:tcBorders>
              <w:top w:val="nil"/>
              <w:bottom w:val="nil"/>
            </w:tcBorders>
          </w:tcPr>
          <w:p w:rsidR="00BF612A" w:rsidRDefault="003E52AB">
            <w:pPr>
              <w:pStyle w:val="TableParagraph"/>
              <w:spacing w:before="37"/>
              <w:ind w:left="45"/>
              <w:rPr>
                <w:rFonts w:ascii="Verdana" w:hAnsi="Verdana"/>
                <w:sz w:val="16"/>
              </w:rPr>
            </w:pPr>
            <w:r>
              <w:rPr>
                <w:rFonts w:ascii="Verdana" w:hAnsi="Verdana"/>
                <w:sz w:val="16"/>
              </w:rPr>
              <w:t>Uhlovodíky, C11-C14, n-alkany, isoalkany,</w:t>
            </w:r>
          </w:p>
        </w:tc>
        <w:tc>
          <w:tcPr>
            <w:tcW w:w="843" w:type="dxa"/>
            <w:tcBorders>
              <w:top w:val="nil"/>
              <w:bottom w:val="nil"/>
            </w:tcBorders>
          </w:tcPr>
          <w:p w:rsidR="00BF612A" w:rsidRDefault="003E52AB">
            <w:pPr>
              <w:pStyle w:val="TableParagraph"/>
              <w:spacing w:before="37"/>
              <w:ind w:left="16"/>
              <w:rPr>
                <w:rFonts w:ascii="Verdana"/>
                <w:sz w:val="16"/>
              </w:rPr>
            </w:pPr>
            <w:r>
              <w:rPr>
                <w:rFonts w:ascii="Verdana"/>
                <w:sz w:val="16"/>
              </w:rPr>
              <w:t>100</w:t>
            </w:r>
          </w:p>
        </w:tc>
        <w:tc>
          <w:tcPr>
            <w:tcW w:w="2969" w:type="dxa"/>
            <w:tcBorders>
              <w:top w:val="nil"/>
              <w:bottom w:val="nil"/>
            </w:tcBorders>
          </w:tcPr>
          <w:p w:rsidR="00BF612A" w:rsidRDefault="003E52AB">
            <w:pPr>
              <w:pStyle w:val="TableParagraph"/>
              <w:spacing w:before="37"/>
              <w:ind w:left="45"/>
              <w:rPr>
                <w:rFonts w:ascii="Verdana"/>
                <w:sz w:val="16"/>
              </w:rPr>
            </w:pPr>
            <w:r>
              <w:rPr>
                <w:rFonts w:ascii="Verdana"/>
                <w:sz w:val="16"/>
              </w:rPr>
              <w:t>Asp. Tox. 1, H304</w:t>
            </w:r>
          </w:p>
        </w:tc>
        <w:tc>
          <w:tcPr>
            <w:tcW w:w="729" w:type="dxa"/>
            <w:tcBorders>
              <w:top w:val="nil"/>
              <w:bottom w:val="nil"/>
            </w:tcBorders>
          </w:tcPr>
          <w:p w:rsidR="00BF612A" w:rsidRDefault="003E52AB">
            <w:pPr>
              <w:pStyle w:val="TableParagraph"/>
              <w:spacing w:before="37"/>
              <w:ind w:left="45"/>
              <w:rPr>
                <w:rFonts w:ascii="Verdana"/>
                <w:sz w:val="16"/>
              </w:rPr>
            </w:pPr>
            <w:r>
              <w:rPr>
                <w:rFonts w:ascii="Verdana"/>
                <w:sz w:val="16"/>
              </w:rPr>
              <w:t>1</w:t>
            </w:r>
          </w:p>
        </w:tc>
      </w:tr>
      <w:tr w:rsidR="00BF612A">
        <w:trPr>
          <w:trHeight w:hRule="exact" w:val="195"/>
        </w:trPr>
        <w:tc>
          <w:tcPr>
            <w:tcW w:w="1947" w:type="dxa"/>
            <w:tcBorders>
              <w:top w:val="nil"/>
              <w:bottom w:val="nil"/>
            </w:tcBorders>
          </w:tcPr>
          <w:p w:rsidR="00BF612A" w:rsidRDefault="003E52AB">
            <w:pPr>
              <w:pStyle w:val="TableParagraph"/>
              <w:spacing w:before="1"/>
              <w:ind w:left="39"/>
              <w:rPr>
                <w:rFonts w:ascii="Verdana" w:hAnsi="Verdana"/>
                <w:sz w:val="16"/>
              </w:rPr>
            </w:pPr>
            <w:r>
              <w:rPr>
                <w:rFonts w:ascii="Verdana" w:hAnsi="Verdana"/>
                <w:sz w:val="16"/>
              </w:rPr>
              <w:t>Registrační číslo:</w:t>
            </w:r>
          </w:p>
        </w:tc>
        <w:tc>
          <w:tcPr>
            <w:tcW w:w="3741" w:type="dxa"/>
            <w:tcBorders>
              <w:top w:val="nil"/>
              <w:bottom w:val="nil"/>
            </w:tcBorders>
          </w:tcPr>
          <w:p w:rsidR="00BF612A" w:rsidRDefault="003E52AB">
            <w:pPr>
              <w:pStyle w:val="TableParagraph"/>
              <w:spacing w:before="1"/>
              <w:ind w:left="45"/>
              <w:rPr>
                <w:rFonts w:ascii="Verdana" w:hAnsi="Verdana"/>
                <w:sz w:val="16"/>
              </w:rPr>
            </w:pPr>
            <w:r>
              <w:rPr>
                <w:rFonts w:ascii="Verdana" w:hAnsi="Verdana"/>
                <w:sz w:val="16"/>
              </w:rPr>
              <w:t>cyklické, &lt; 2% aromátů</w:t>
            </w:r>
          </w:p>
        </w:tc>
        <w:tc>
          <w:tcPr>
            <w:tcW w:w="843" w:type="dxa"/>
            <w:tcBorders>
              <w:top w:val="nil"/>
              <w:bottom w:val="nil"/>
            </w:tcBorders>
          </w:tcPr>
          <w:p w:rsidR="00BF612A" w:rsidRDefault="00BF612A"/>
        </w:tc>
        <w:tc>
          <w:tcPr>
            <w:tcW w:w="2969" w:type="dxa"/>
            <w:tcBorders>
              <w:top w:val="nil"/>
              <w:bottom w:val="nil"/>
            </w:tcBorders>
          </w:tcPr>
          <w:p w:rsidR="00BF612A" w:rsidRDefault="00BF612A"/>
        </w:tc>
        <w:tc>
          <w:tcPr>
            <w:tcW w:w="729" w:type="dxa"/>
            <w:tcBorders>
              <w:top w:val="nil"/>
              <w:bottom w:val="nil"/>
            </w:tcBorders>
          </w:tcPr>
          <w:p w:rsidR="00BF612A" w:rsidRDefault="00BF612A"/>
        </w:tc>
      </w:tr>
      <w:tr w:rsidR="00BF612A">
        <w:trPr>
          <w:trHeight w:hRule="exact" w:val="195"/>
        </w:trPr>
        <w:tc>
          <w:tcPr>
            <w:tcW w:w="1947" w:type="dxa"/>
            <w:tcBorders>
              <w:top w:val="nil"/>
              <w:bottom w:val="nil"/>
            </w:tcBorders>
          </w:tcPr>
          <w:p w:rsidR="00BF612A" w:rsidRDefault="003E52AB">
            <w:pPr>
              <w:pStyle w:val="TableParagraph"/>
              <w:spacing w:before="1"/>
              <w:ind w:left="39"/>
              <w:rPr>
                <w:rFonts w:ascii="Verdana"/>
                <w:sz w:val="16"/>
              </w:rPr>
            </w:pPr>
            <w:r>
              <w:rPr>
                <w:rFonts w:ascii="Verdana"/>
                <w:sz w:val="16"/>
              </w:rPr>
              <w:t>01-2119456620-43-</w:t>
            </w:r>
          </w:p>
        </w:tc>
        <w:tc>
          <w:tcPr>
            <w:tcW w:w="3741" w:type="dxa"/>
            <w:tcBorders>
              <w:top w:val="nil"/>
              <w:bottom w:val="nil"/>
            </w:tcBorders>
          </w:tcPr>
          <w:p w:rsidR="00BF612A" w:rsidRDefault="00BF612A"/>
        </w:tc>
        <w:tc>
          <w:tcPr>
            <w:tcW w:w="843" w:type="dxa"/>
            <w:tcBorders>
              <w:top w:val="nil"/>
              <w:bottom w:val="nil"/>
            </w:tcBorders>
          </w:tcPr>
          <w:p w:rsidR="00BF612A" w:rsidRDefault="00BF612A"/>
        </w:tc>
        <w:tc>
          <w:tcPr>
            <w:tcW w:w="2969" w:type="dxa"/>
            <w:tcBorders>
              <w:top w:val="nil"/>
              <w:bottom w:val="nil"/>
            </w:tcBorders>
          </w:tcPr>
          <w:p w:rsidR="00BF612A" w:rsidRDefault="00BF612A"/>
        </w:tc>
        <w:tc>
          <w:tcPr>
            <w:tcW w:w="729" w:type="dxa"/>
            <w:tcBorders>
              <w:top w:val="nil"/>
              <w:bottom w:val="nil"/>
            </w:tcBorders>
          </w:tcPr>
          <w:p w:rsidR="00BF612A" w:rsidRDefault="00BF612A"/>
        </w:tc>
      </w:tr>
      <w:tr w:rsidR="00BF612A">
        <w:trPr>
          <w:trHeight w:hRule="exact" w:val="265"/>
        </w:trPr>
        <w:tc>
          <w:tcPr>
            <w:tcW w:w="1947" w:type="dxa"/>
            <w:tcBorders>
              <w:top w:val="nil"/>
            </w:tcBorders>
          </w:tcPr>
          <w:p w:rsidR="00BF612A" w:rsidRDefault="003E52AB">
            <w:pPr>
              <w:pStyle w:val="TableParagraph"/>
              <w:spacing w:before="1"/>
              <w:ind w:left="39"/>
              <w:rPr>
                <w:rFonts w:ascii="Verdana"/>
                <w:sz w:val="16"/>
              </w:rPr>
            </w:pPr>
            <w:r>
              <w:rPr>
                <w:rFonts w:ascii="Verdana"/>
                <w:sz w:val="16"/>
              </w:rPr>
              <w:t>xxxx</w:t>
            </w:r>
          </w:p>
        </w:tc>
        <w:tc>
          <w:tcPr>
            <w:tcW w:w="3741" w:type="dxa"/>
            <w:tcBorders>
              <w:top w:val="nil"/>
            </w:tcBorders>
          </w:tcPr>
          <w:p w:rsidR="00BF612A" w:rsidRDefault="00BF612A"/>
        </w:tc>
        <w:tc>
          <w:tcPr>
            <w:tcW w:w="843" w:type="dxa"/>
            <w:tcBorders>
              <w:top w:val="nil"/>
            </w:tcBorders>
          </w:tcPr>
          <w:p w:rsidR="00BF612A" w:rsidRDefault="00BF612A"/>
        </w:tc>
        <w:tc>
          <w:tcPr>
            <w:tcW w:w="2969" w:type="dxa"/>
            <w:tcBorders>
              <w:top w:val="nil"/>
            </w:tcBorders>
          </w:tcPr>
          <w:p w:rsidR="00BF612A" w:rsidRDefault="00BF612A"/>
        </w:tc>
        <w:tc>
          <w:tcPr>
            <w:tcW w:w="729" w:type="dxa"/>
            <w:tcBorders>
              <w:top w:val="nil"/>
            </w:tcBorders>
          </w:tcPr>
          <w:p w:rsidR="00BF612A" w:rsidRDefault="00BF612A"/>
        </w:tc>
      </w:tr>
    </w:tbl>
    <w:p w:rsidR="00BF612A" w:rsidRDefault="003E52AB">
      <w:pPr>
        <w:pStyle w:val="Nadpis4"/>
        <w:spacing w:before="17"/>
        <w:ind w:left="799"/>
      </w:pPr>
      <w:r>
        <w:t>Poznámky</w:t>
      </w:r>
    </w:p>
    <w:p w:rsidR="00BF612A" w:rsidRDefault="003E52AB">
      <w:pPr>
        <w:pStyle w:val="Zkladntext"/>
        <w:tabs>
          <w:tab w:val="left" w:pos="1147"/>
        </w:tabs>
        <w:spacing w:before="18"/>
        <w:ind w:left="799"/>
      </w:pPr>
      <w:r>
        <w:t>1</w:t>
      </w:r>
      <w:r>
        <w:tab/>
        <w:t>Látka, pro niž existují expoziční limity Společenství pro pracovní</w:t>
      </w:r>
      <w:r>
        <w:rPr>
          <w:spacing w:val="27"/>
        </w:rPr>
        <w:t xml:space="preserve"> </w:t>
      </w:r>
      <w:r>
        <w:t>prostředí.</w:t>
      </w:r>
    </w:p>
    <w:p w:rsidR="00BF612A" w:rsidRDefault="003E52AB">
      <w:pPr>
        <w:pStyle w:val="Zkladntext"/>
        <w:spacing w:before="126"/>
      </w:pPr>
      <w:r>
        <w:pict>
          <v:line id="_x0000_s1073" style="position:absolute;left:0;text-align:left;z-index:251649536;mso-wrap-distance-left:0;mso-wrap-distance-right:0;mso-position-horizontal-relative:page" from="41.4pt,22.75pt" to="553.6pt,22.75pt" strokeweight=".266mm">
            <w10:wrap type="topAndBottom" anchorx="page"/>
          </v:line>
        </w:pict>
      </w:r>
      <w:r>
        <w:t>Plný text všech klasifikací a H-vět je uveden v oddíle 16.</w:t>
      </w:r>
    </w:p>
    <w:p w:rsidR="00BF612A" w:rsidRDefault="00BF612A">
      <w:pPr>
        <w:sectPr w:rsidR="00BF612A" w:rsidSect="003E52AB">
          <w:type w:val="continuous"/>
          <w:pgSz w:w="11900" w:h="16840"/>
          <w:pgMar w:top="860" w:right="700" w:bottom="1985" w:left="720" w:header="708" w:footer="203" w:gutter="0"/>
          <w:cols w:space="708"/>
        </w:sectPr>
      </w:pPr>
    </w:p>
    <w:p w:rsidR="00BF612A" w:rsidRDefault="00BF612A">
      <w:pPr>
        <w:pStyle w:val="Zkladntext"/>
        <w:spacing w:before="7"/>
        <w:ind w:left="0"/>
        <w:rPr>
          <w:sz w:val="6"/>
        </w:rPr>
      </w:pPr>
    </w:p>
    <w:p w:rsidR="00BF612A" w:rsidRDefault="003E52AB">
      <w:pPr>
        <w:pStyle w:val="Nadpis4"/>
        <w:ind w:left="136"/>
      </w:pPr>
      <w:bookmarkStart w:id="3" w:name="4._Pokyny_pro_první_pomoc"/>
      <w:bookmarkEnd w:id="3"/>
      <w:r>
        <w:t>ODDÍL 4: Pokyny pro první pomoc</w:t>
      </w:r>
    </w:p>
    <w:p w:rsidR="00BF612A" w:rsidRDefault="003E52AB">
      <w:pPr>
        <w:pStyle w:val="Odstavecseseznamem"/>
        <w:numPr>
          <w:ilvl w:val="1"/>
          <w:numId w:val="10"/>
        </w:numPr>
        <w:tabs>
          <w:tab w:val="left" w:pos="787"/>
          <w:tab w:val="left" w:pos="788"/>
        </w:tabs>
        <w:ind w:hanging="651"/>
        <w:rPr>
          <w:b/>
          <w:sz w:val="16"/>
        </w:rPr>
      </w:pPr>
      <w:r>
        <w:rPr>
          <w:b/>
          <w:sz w:val="16"/>
        </w:rPr>
        <w:t>Popis první</w:t>
      </w:r>
      <w:r>
        <w:rPr>
          <w:b/>
          <w:spacing w:val="8"/>
          <w:sz w:val="16"/>
        </w:rPr>
        <w:t xml:space="preserve"> </w:t>
      </w:r>
      <w:r>
        <w:rPr>
          <w:b/>
          <w:sz w:val="16"/>
        </w:rPr>
        <w:t>pomoci</w:t>
      </w:r>
    </w:p>
    <w:p w:rsidR="00BF612A" w:rsidRDefault="003E52AB">
      <w:pPr>
        <w:pStyle w:val="Zkladntext"/>
        <w:spacing w:before="16" w:line="242" w:lineRule="auto"/>
        <w:ind w:right="120"/>
        <w:jc w:val="both"/>
      </w:pPr>
      <w:r>
        <w:t>Projeví-li se zdravotní potíže nebo v případě pochybností, uvědomte lékaře a poskytněte mu informace z tohoto Bezpečnostního listu. Při bezvědomí umístěte postiženého do stabilizované polohy na boku s mírně zakloněnou   hlavou a dbejte o průchodnost dýchacích cest, nikdy nevyvolávejte zvracení. Zvrací-li postižený sám, dbejte, aby nedošlo k vdechnutí zvratků. Při stavech ohrožujících život nejdříve provádějte resuscitaci postiženého a zajistěte lékařskou pomoc. Zástava dechu - okamžitě provádějte umělé dýchání. Zástava srdce - okamžitě provádějte nepřímou masáž</w:t>
      </w:r>
      <w:r>
        <w:rPr>
          <w:spacing w:val="8"/>
        </w:rPr>
        <w:t xml:space="preserve"> </w:t>
      </w:r>
      <w:r>
        <w:t>srdce.</w:t>
      </w:r>
    </w:p>
    <w:p w:rsidR="00BF612A" w:rsidRDefault="003E52AB">
      <w:pPr>
        <w:pStyle w:val="Nadpis4"/>
        <w:spacing w:before="48"/>
        <w:jc w:val="both"/>
      </w:pPr>
      <w:r>
        <w:t>Při vdechnutí</w:t>
      </w:r>
    </w:p>
    <w:p w:rsidR="00BF612A" w:rsidRDefault="003E52AB">
      <w:pPr>
        <w:pStyle w:val="Zkladntext"/>
        <w:spacing w:before="21"/>
        <w:ind w:right="120"/>
        <w:jc w:val="both"/>
      </w:pPr>
      <w:r>
        <w:t>Okamžitě přerušte expozici, dopravte postiženého na čerstvý vzduch (sundejte kontaminovaný oděv). Zajistěte postiženého proti prochladnutí. Zajistěte lékařské ošetření vzhledem k časté nutnosti dalšího sledování po dobu nejméně 24 hodin.</w:t>
      </w:r>
    </w:p>
    <w:p w:rsidR="00BF612A" w:rsidRDefault="003E52AB">
      <w:pPr>
        <w:pStyle w:val="Nadpis4"/>
        <w:spacing w:before="49"/>
        <w:jc w:val="both"/>
      </w:pPr>
      <w:r>
        <w:t>Při styku s kůží</w:t>
      </w:r>
    </w:p>
    <w:p w:rsidR="00BF612A" w:rsidRDefault="003E52AB">
      <w:pPr>
        <w:pStyle w:val="Zkladntext"/>
        <w:spacing w:before="16" w:line="242" w:lineRule="auto"/>
        <w:ind w:right="120"/>
        <w:jc w:val="both"/>
      </w:pPr>
      <w:r>
        <w:t>Odložte potřísněný oděv. Omyjte postižené místo velkým množstvím pokud možno vlažné vody. Pokud nedošlo k poranění pokožky, je vhodné použít mýdlo, mýdlový roztok nebo šampon. Zajistěte lékařské ošetření.</w:t>
      </w:r>
    </w:p>
    <w:p w:rsidR="00BF612A" w:rsidRDefault="003E52AB">
      <w:pPr>
        <w:pStyle w:val="Nadpis4"/>
        <w:spacing w:before="44"/>
        <w:jc w:val="both"/>
      </w:pPr>
      <w:r>
        <w:t>Při zasažení očí</w:t>
      </w:r>
    </w:p>
    <w:p w:rsidR="00BF612A" w:rsidRDefault="003E52AB">
      <w:pPr>
        <w:pStyle w:val="Zkladntext"/>
        <w:spacing w:before="20"/>
        <w:ind w:right="120"/>
        <w:jc w:val="both"/>
      </w:pPr>
      <w:r>
        <w:t>Ihned vyplachujte oči proudem tekoucí vody, rozevřete oční víčka (třeba i násilím); pokud má postižený kontaktní čočky, neprodleně je vyjměte. Výplach provádějte nejméně 10 minut. Zajistěte lékařské, pokud možno odborné ošetření.</w:t>
      </w:r>
    </w:p>
    <w:p w:rsidR="00BF612A" w:rsidRDefault="003E52AB">
      <w:pPr>
        <w:pStyle w:val="Nadpis4"/>
        <w:spacing w:before="50"/>
        <w:jc w:val="both"/>
      </w:pPr>
      <w:r>
        <w:t>Při požití</w:t>
      </w:r>
    </w:p>
    <w:p w:rsidR="00BF612A" w:rsidRDefault="003E52AB">
      <w:pPr>
        <w:pStyle w:val="Zkladntext"/>
        <w:spacing w:before="21"/>
        <w:ind w:right="120"/>
        <w:jc w:val="both"/>
      </w:pPr>
      <w:r>
        <w:t xml:space="preserve">NEVYVOLÁVEJTE ZVRACENÍ! Pokud postižený zvrací, dbejte aby nevdechl zvratky (protože při vdechnutí těchto kapalin do dýchacích cest i v nepatrném množství je nebezpečí poškození plic). Zajistěte lékařské ošetření </w:t>
      </w:r>
      <w:proofErr w:type="gramStart"/>
      <w:r>
        <w:t>vzhledem  k</w:t>
      </w:r>
      <w:proofErr w:type="gramEnd"/>
      <w:r>
        <w:t xml:space="preserve"> časté nutnosti dalšího sledování po dobu nejméně 24 hodin. Originální obal s etiketou, popřípadě bezpečnostní list dané látky vezměte s</w:t>
      </w:r>
      <w:r>
        <w:rPr>
          <w:spacing w:val="10"/>
        </w:rPr>
        <w:t xml:space="preserve"> </w:t>
      </w:r>
      <w:r>
        <w:t>sebou.</w:t>
      </w:r>
    </w:p>
    <w:p w:rsidR="00BF612A" w:rsidRDefault="003E52AB">
      <w:pPr>
        <w:pStyle w:val="Nadpis4"/>
        <w:numPr>
          <w:ilvl w:val="1"/>
          <w:numId w:val="10"/>
        </w:numPr>
        <w:tabs>
          <w:tab w:val="left" w:pos="787"/>
          <w:tab w:val="left" w:pos="788"/>
        </w:tabs>
        <w:spacing w:before="47" w:line="280" w:lineRule="auto"/>
        <w:ind w:right="4928" w:hanging="651"/>
      </w:pPr>
      <w:r>
        <w:t>Nejdůležitější akutní a opožděné symptomy a účinky Při</w:t>
      </w:r>
      <w:r>
        <w:rPr>
          <w:spacing w:val="5"/>
        </w:rPr>
        <w:t xml:space="preserve"> </w:t>
      </w:r>
      <w:r>
        <w:t>vdechnutí</w:t>
      </w:r>
    </w:p>
    <w:p w:rsidR="00BF612A" w:rsidRDefault="003E52AB">
      <w:pPr>
        <w:pStyle w:val="Zkladntext"/>
        <w:jc w:val="both"/>
      </w:pPr>
      <w:r>
        <w:t>Možné podráždění dýchacích cest, kašel, bolesti hlavy.</w:t>
      </w:r>
    </w:p>
    <w:p w:rsidR="00BF612A" w:rsidRDefault="003E52AB">
      <w:pPr>
        <w:pStyle w:val="Nadpis4"/>
        <w:spacing w:before="33"/>
        <w:jc w:val="both"/>
      </w:pPr>
      <w:r>
        <w:t>Při styku s kůží</w:t>
      </w:r>
    </w:p>
    <w:p w:rsidR="00BF612A" w:rsidRDefault="003E52AB">
      <w:pPr>
        <w:pStyle w:val="Zkladntext"/>
        <w:spacing w:before="33"/>
        <w:jc w:val="both"/>
      </w:pPr>
      <w:r>
        <w:t>Bolestivé zarudnutí, podráždění.</w:t>
      </w:r>
    </w:p>
    <w:p w:rsidR="00BF612A" w:rsidRDefault="003E52AB">
      <w:pPr>
        <w:spacing w:before="33" w:line="280" w:lineRule="auto"/>
        <w:ind w:left="787" w:right="8278"/>
        <w:rPr>
          <w:b/>
          <w:sz w:val="16"/>
        </w:rPr>
      </w:pPr>
      <w:r>
        <w:rPr>
          <w:b/>
          <w:sz w:val="16"/>
        </w:rPr>
        <w:t xml:space="preserve">Při zasažení očí </w:t>
      </w:r>
      <w:r>
        <w:rPr>
          <w:sz w:val="16"/>
        </w:rPr>
        <w:t xml:space="preserve">Neočekávají se. </w:t>
      </w:r>
      <w:r>
        <w:rPr>
          <w:b/>
          <w:sz w:val="16"/>
        </w:rPr>
        <w:t>Při požití</w:t>
      </w:r>
    </w:p>
    <w:p w:rsidR="00BF612A" w:rsidRDefault="003E52AB">
      <w:pPr>
        <w:pStyle w:val="Zkladntext"/>
        <w:jc w:val="both"/>
      </w:pPr>
      <w:r>
        <w:t>Podráždění, nevolnost.</w:t>
      </w:r>
    </w:p>
    <w:p w:rsidR="00BF612A" w:rsidRDefault="003E52AB">
      <w:pPr>
        <w:pStyle w:val="Nadpis4"/>
        <w:numPr>
          <w:ilvl w:val="1"/>
          <w:numId w:val="10"/>
        </w:numPr>
        <w:tabs>
          <w:tab w:val="left" w:pos="787"/>
          <w:tab w:val="left" w:pos="788"/>
        </w:tabs>
        <w:spacing w:before="33"/>
        <w:ind w:hanging="651"/>
      </w:pPr>
      <w:r>
        <w:t>Pokyn týkající se okamžité lékařské pomoci a zvláštního</w:t>
      </w:r>
      <w:r>
        <w:rPr>
          <w:spacing w:val="27"/>
        </w:rPr>
        <w:t xml:space="preserve"> </w:t>
      </w:r>
      <w:r>
        <w:t>ošetření</w:t>
      </w:r>
    </w:p>
    <w:p w:rsidR="00BF612A" w:rsidRDefault="003E52AB">
      <w:pPr>
        <w:pStyle w:val="Zkladntext"/>
        <w:spacing w:before="33"/>
        <w:jc w:val="both"/>
      </w:pPr>
      <w:r>
        <w:pict>
          <v:line id="_x0000_s1072" style="position:absolute;left:0;text-align:left;z-index:251650560;mso-wrap-distance-left:0;mso-wrap-distance-right:0;mso-position-horizontal-relative:page" from="41.4pt,17.5pt" to="553.9pt,17.5pt" strokeweight=".266mm">
            <w10:wrap type="topAndBottom" anchorx="page"/>
          </v:line>
        </w:pict>
      </w:r>
      <w:r>
        <w:t>Léčba symptomatická.</w:t>
      </w:r>
    </w:p>
    <w:p w:rsidR="00BF612A" w:rsidRDefault="003E52AB">
      <w:pPr>
        <w:pStyle w:val="Nadpis4"/>
        <w:spacing w:before="130"/>
        <w:ind w:left="136"/>
      </w:pPr>
      <w:bookmarkStart w:id="4" w:name="5._Opatření_pro_hašení_požáru"/>
      <w:bookmarkEnd w:id="4"/>
      <w:r>
        <w:t>ODDÍL 5: Opatření pro hašení požáru</w:t>
      </w:r>
    </w:p>
    <w:p w:rsidR="00BF612A" w:rsidRDefault="003E52AB">
      <w:pPr>
        <w:pStyle w:val="Odstavecseseznamem"/>
        <w:numPr>
          <w:ilvl w:val="1"/>
          <w:numId w:val="9"/>
        </w:numPr>
        <w:tabs>
          <w:tab w:val="left" w:pos="787"/>
          <w:tab w:val="left" w:pos="788"/>
        </w:tabs>
        <w:spacing w:before="33" w:line="280" w:lineRule="auto"/>
        <w:ind w:right="8368" w:hanging="651"/>
        <w:rPr>
          <w:b/>
          <w:sz w:val="16"/>
        </w:rPr>
      </w:pPr>
      <w:r>
        <w:rPr>
          <w:b/>
          <w:sz w:val="16"/>
        </w:rPr>
        <w:t>Hasiva Vhodná</w:t>
      </w:r>
      <w:r>
        <w:rPr>
          <w:b/>
          <w:spacing w:val="6"/>
          <w:sz w:val="16"/>
        </w:rPr>
        <w:t xml:space="preserve"> </w:t>
      </w:r>
      <w:r>
        <w:rPr>
          <w:b/>
          <w:sz w:val="16"/>
        </w:rPr>
        <w:t>hasiva</w:t>
      </w:r>
    </w:p>
    <w:p w:rsidR="00BF612A" w:rsidRDefault="003E52AB">
      <w:pPr>
        <w:pStyle w:val="Zkladntext"/>
        <w:spacing w:line="183" w:lineRule="exact"/>
      </w:pPr>
      <w:r>
        <w:t>prášek BC, střední nebo těžká pěna, oxid uhličitý</w:t>
      </w:r>
    </w:p>
    <w:p w:rsidR="00BF612A" w:rsidRDefault="003E52AB">
      <w:pPr>
        <w:pStyle w:val="Nadpis4"/>
        <w:spacing w:before="45"/>
      </w:pPr>
      <w:r>
        <w:t>Nevhodná hasiva</w:t>
      </w:r>
    </w:p>
    <w:p w:rsidR="00BF612A" w:rsidRDefault="003E52AB">
      <w:pPr>
        <w:pStyle w:val="Zkladntext"/>
        <w:spacing w:before="16"/>
      </w:pPr>
      <w:r>
        <w:t>voda - plný proud</w:t>
      </w:r>
    </w:p>
    <w:p w:rsidR="00BF612A" w:rsidRDefault="003E52AB">
      <w:pPr>
        <w:pStyle w:val="Nadpis4"/>
        <w:numPr>
          <w:ilvl w:val="1"/>
          <w:numId w:val="9"/>
        </w:numPr>
        <w:tabs>
          <w:tab w:val="left" w:pos="787"/>
          <w:tab w:val="left" w:pos="788"/>
        </w:tabs>
        <w:spacing w:before="49"/>
        <w:ind w:hanging="651"/>
      </w:pPr>
      <w:r>
        <w:t>Zvláštní nebezpečnost vyplývající z látky nebo</w:t>
      </w:r>
      <w:r>
        <w:rPr>
          <w:spacing w:val="22"/>
        </w:rPr>
        <w:t xml:space="preserve"> </w:t>
      </w:r>
      <w:r>
        <w:t>směsi</w:t>
      </w:r>
    </w:p>
    <w:p w:rsidR="00BF612A" w:rsidRDefault="003E52AB">
      <w:pPr>
        <w:pStyle w:val="Zkladntext"/>
        <w:spacing w:before="17" w:line="242" w:lineRule="auto"/>
        <w:ind w:right="238"/>
      </w:pPr>
      <w:r>
        <w:t xml:space="preserve">Při požáru vzniká hustý, černý kouř, může docházet ke vzniku oxidu uhelnatého a uhličitého a dalších </w:t>
      </w:r>
      <w:proofErr w:type="gramStart"/>
      <w:r>
        <w:t>toxických  plynů</w:t>
      </w:r>
      <w:proofErr w:type="gramEnd"/>
      <w:r>
        <w:t>. Vdechování nebezpečných rozkladných (pyrolyzních) produktů může způsobit vážné poškození</w:t>
      </w:r>
      <w:r>
        <w:rPr>
          <w:spacing w:val="41"/>
        </w:rPr>
        <w:t xml:space="preserve"> </w:t>
      </w:r>
      <w:r>
        <w:t>zdraví.</w:t>
      </w:r>
    </w:p>
    <w:p w:rsidR="00BF612A" w:rsidRDefault="003E52AB">
      <w:pPr>
        <w:pStyle w:val="Nadpis4"/>
        <w:numPr>
          <w:ilvl w:val="1"/>
          <w:numId w:val="9"/>
        </w:numPr>
        <w:tabs>
          <w:tab w:val="left" w:pos="787"/>
          <w:tab w:val="left" w:pos="788"/>
        </w:tabs>
        <w:spacing w:before="44"/>
        <w:ind w:hanging="651"/>
      </w:pPr>
      <w:r>
        <w:t>Pokyny pro</w:t>
      </w:r>
      <w:r>
        <w:rPr>
          <w:spacing w:val="7"/>
        </w:rPr>
        <w:t xml:space="preserve"> </w:t>
      </w:r>
      <w:r>
        <w:t>hasiče</w:t>
      </w:r>
    </w:p>
    <w:p w:rsidR="00BF612A" w:rsidRDefault="003E52AB">
      <w:pPr>
        <w:pStyle w:val="Zkladntext"/>
        <w:spacing w:before="27" w:line="192" w:lineRule="exact"/>
      </w:pPr>
      <w:r>
        <w:pict>
          <v:line id="_x0000_s1071" style="position:absolute;left:0;text-align:left;z-index:251651584;mso-wrap-distance-left:0;mso-wrap-distance-right:0;mso-position-horizontal-relative:page" from="41.4pt,27.2pt" to="553.9pt,27.2pt" strokeweight=".266mm">
            <w10:wrap type="topAndBottom" anchorx="page"/>
          </v:line>
        </w:pict>
      </w:r>
      <w:r>
        <w:t>Použijte izolační dýchací přístroj a celotělový ochranný oblek. Uzavřené nádoby se směsí v blízkosti požáru chlaďte vodou. Kontaminované hasivo nenechte uniknout do kanalizace, povrchových a spodních vod.</w:t>
      </w:r>
    </w:p>
    <w:p w:rsidR="00BF612A" w:rsidRDefault="00BF612A">
      <w:pPr>
        <w:pStyle w:val="Zkladntext"/>
        <w:spacing w:before="7"/>
        <w:ind w:left="0"/>
        <w:rPr>
          <w:sz w:val="13"/>
        </w:rPr>
      </w:pPr>
    </w:p>
    <w:p w:rsidR="00BF612A" w:rsidRDefault="003E52AB">
      <w:pPr>
        <w:pStyle w:val="Nadpis4"/>
        <w:ind w:left="136"/>
      </w:pPr>
      <w:bookmarkStart w:id="5" w:name="6._Opatření_v_případě_náhodného_úniku"/>
      <w:bookmarkEnd w:id="5"/>
      <w:r>
        <w:t>ODDÍL 6: Opatření v případě náhodného úniku</w:t>
      </w:r>
    </w:p>
    <w:p w:rsidR="00BF612A" w:rsidRDefault="003E52AB">
      <w:pPr>
        <w:pStyle w:val="Odstavecseseznamem"/>
        <w:numPr>
          <w:ilvl w:val="1"/>
          <w:numId w:val="8"/>
        </w:numPr>
        <w:tabs>
          <w:tab w:val="left" w:pos="787"/>
          <w:tab w:val="left" w:pos="788"/>
        </w:tabs>
        <w:ind w:hanging="651"/>
        <w:rPr>
          <w:b/>
          <w:sz w:val="16"/>
        </w:rPr>
      </w:pPr>
      <w:r>
        <w:rPr>
          <w:b/>
          <w:sz w:val="16"/>
        </w:rPr>
        <w:t>Opatření na ochranu osob, ochranné prostředky a nouzové</w:t>
      </w:r>
      <w:r>
        <w:rPr>
          <w:b/>
          <w:spacing w:val="28"/>
          <w:sz w:val="16"/>
        </w:rPr>
        <w:t xml:space="preserve"> </w:t>
      </w:r>
      <w:r>
        <w:rPr>
          <w:b/>
          <w:sz w:val="16"/>
        </w:rPr>
        <w:t>postupy</w:t>
      </w:r>
    </w:p>
    <w:p w:rsidR="00BF612A" w:rsidRDefault="003E52AB">
      <w:pPr>
        <w:pStyle w:val="Zkladntext"/>
        <w:spacing w:before="16" w:line="242" w:lineRule="auto"/>
      </w:pPr>
      <w:r>
        <w:t xml:space="preserve">Používejte osobní ochranné pracovní prostředky. Postupujte podle pokynů obsažených v oddílech 7 </w:t>
      </w:r>
      <w:proofErr w:type="gramStart"/>
      <w:r>
        <w:t>a</w:t>
      </w:r>
      <w:proofErr w:type="gramEnd"/>
      <w:r>
        <w:t xml:space="preserve"> 8. Nevdechujte aerosoly.</w:t>
      </w:r>
    </w:p>
    <w:p w:rsidR="00BF612A" w:rsidRDefault="003E52AB">
      <w:pPr>
        <w:pStyle w:val="Nadpis4"/>
        <w:numPr>
          <w:ilvl w:val="1"/>
          <w:numId w:val="8"/>
        </w:numPr>
        <w:tabs>
          <w:tab w:val="left" w:pos="787"/>
          <w:tab w:val="left" w:pos="788"/>
        </w:tabs>
        <w:spacing w:before="44"/>
        <w:ind w:hanging="651"/>
      </w:pPr>
      <w:r>
        <w:t>Opatření na ochranu životního</w:t>
      </w:r>
      <w:r>
        <w:rPr>
          <w:spacing w:val="16"/>
        </w:rPr>
        <w:t xml:space="preserve"> </w:t>
      </w:r>
      <w:r>
        <w:t>prostředí</w:t>
      </w:r>
    </w:p>
    <w:p w:rsidR="00BF612A" w:rsidRDefault="003E52AB">
      <w:pPr>
        <w:pStyle w:val="Zkladntext"/>
        <w:spacing w:before="20"/>
      </w:pPr>
      <w:r>
        <w:t>Zabraňte kontaminaci půdy a úniku do povrchových nebo spodních vod. Nepřipusťte vniknutí do kanalizace.</w:t>
      </w:r>
    </w:p>
    <w:p w:rsidR="00BF612A" w:rsidRDefault="003E52AB">
      <w:pPr>
        <w:pStyle w:val="Nadpis4"/>
        <w:numPr>
          <w:ilvl w:val="1"/>
          <w:numId w:val="8"/>
        </w:numPr>
        <w:tabs>
          <w:tab w:val="left" w:pos="787"/>
          <w:tab w:val="left" w:pos="788"/>
        </w:tabs>
        <w:spacing w:before="67"/>
        <w:ind w:hanging="651"/>
      </w:pPr>
      <w:r>
        <w:t>Metody a materiál pro omezení úniku a pro</w:t>
      </w:r>
      <w:r>
        <w:rPr>
          <w:spacing w:val="20"/>
        </w:rPr>
        <w:t xml:space="preserve"> </w:t>
      </w:r>
      <w:r>
        <w:t>čištění</w:t>
      </w:r>
    </w:p>
    <w:p w:rsidR="00BF612A" w:rsidRDefault="003E52AB">
      <w:pPr>
        <w:pStyle w:val="Zkladntext"/>
        <w:spacing w:before="17"/>
        <w:ind w:right="120"/>
        <w:jc w:val="both"/>
      </w:pPr>
      <w:r>
        <w:lastRenderedPageBreak/>
        <w:t>Rozlitou směs pokryjte vhodným (nehořlavým) absorbujícím materiálem (písek, křemelina, zemina a jiné vhodné absorpční materiály), shromážděte v dobře uzavřených nádobách a odstraňte dle oddílu 13. Sebraný materiál zneškodňujte v souladu s místně platnými předpisy. Při úniku velkých množství směsi informujte hasiče a odbor životního prostředí Obecního úřadu obce s rozšířenou působností. Nepoužívejte rozpouštědel.</w:t>
      </w:r>
    </w:p>
    <w:p w:rsidR="00BF612A" w:rsidRDefault="003E52AB">
      <w:pPr>
        <w:pStyle w:val="Nadpis4"/>
        <w:numPr>
          <w:ilvl w:val="1"/>
          <w:numId w:val="8"/>
        </w:numPr>
        <w:tabs>
          <w:tab w:val="left" w:pos="787"/>
          <w:tab w:val="left" w:pos="788"/>
        </w:tabs>
        <w:spacing w:before="49"/>
        <w:ind w:hanging="651"/>
      </w:pPr>
      <w:r>
        <w:t>Odkaz na jiné</w:t>
      </w:r>
      <w:r>
        <w:rPr>
          <w:spacing w:val="8"/>
        </w:rPr>
        <w:t xml:space="preserve"> </w:t>
      </w:r>
      <w:r>
        <w:t>oddíly</w:t>
      </w:r>
    </w:p>
    <w:p w:rsidR="00BF612A" w:rsidRDefault="003E52AB">
      <w:pPr>
        <w:pStyle w:val="Zkladntext"/>
        <w:spacing w:before="16"/>
        <w:jc w:val="both"/>
      </w:pPr>
      <w:r>
        <w:pict>
          <v:line id="_x0000_s1070" style="position:absolute;left:0;text-align:left;z-index:251652608;mso-wrap-distance-left:0;mso-wrap-distance-right:0;mso-position-horizontal-relative:page" from="41.4pt,17.5pt" to="553.9pt,17.5pt" strokeweight=".266mm">
            <w10:wrap type="topAndBottom" anchorx="page"/>
          </v:line>
        </w:pict>
      </w:r>
      <w:r>
        <w:t>7., 8. a 13.</w:t>
      </w:r>
    </w:p>
    <w:p w:rsidR="00BF612A" w:rsidRDefault="003E52AB">
      <w:pPr>
        <w:pStyle w:val="Nadpis4"/>
        <w:spacing w:before="158"/>
        <w:ind w:left="136"/>
      </w:pPr>
      <w:bookmarkStart w:id="6" w:name="7._Zacházení_a_skladování"/>
      <w:bookmarkEnd w:id="6"/>
      <w:r>
        <w:t>ODDÍL 7: Zacházení a skladování</w:t>
      </w:r>
    </w:p>
    <w:p w:rsidR="00BF612A" w:rsidRDefault="003E52AB">
      <w:pPr>
        <w:pStyle w:val="Odstavecseseznamem"/>
        <w:numPr>
          <w:ilvl w:val="1"/>
          <w:numId w:val="7"/>
        </w:numPr>
        <w:tabs>
          <w:tab w:val="left" w:pos="787"/>
          <w:tab w:val="left" w:pos="788"/>
        </w:tabs>
        <w:spacing w:before="33"/>
        <w:ind w:hanging="651"/>
        <w:rPr>
          <w:b/>
          <w:sz w:val="16"/>
        </w:rPr>
      </w:pPr>
      <w:r>
        <w:rPr>
          <w:b/>
          <w:sz w:val="16"/>
        </w:rPr>
        <w:t>Opatření pro bezpečné</w:t>
      </w:r>
      <w:r>
        <w:rPr>
          <w:b/>
          <w:spacing w:val="14"/>
          <w:sz w:val="16"/>
        </w:rPr>
        <w:t xml:space="preserve"> </w:t>
      </w:r>
      <w:r>
        <w:rPr>
          <w:b/>
          <w:sz w:val="16"/>
        </w:rPr>
        <w:t>zacházení</w:t>
      </w:r>
    </w:p>
    <w:p w:rsidR="00BF612A" w:rsidRDefault="003E52AB">
      <w:pPr>
        <w:pStyle w:val="Zkladntext"/>
        <w:spacing w:before="18" w:line="242" w:lineRule="auto"/>
        <w:ind w:right="120"/>
        <w:jc w:val="both"/>
      </w:pPr>
      <w:r>
        <w:t>Zabraňte tvorbě plynů a par v zápalných nebo výbušných koncentracích a koncentracích přesahujících nejvyšší přípustné koncentrace (NPK-P) pro pracovní ovzduší. Směs používejte jen v místech, kde nepřichází do styku s otevřeným ohněm a jinými zápalnými zdroji. Nekuřte. Chraňte před přímým slunečním zářením. Při používání může dojít ke vzniku elektrostatického náboje; při přečerpávání používejte pouze uzemněné potrubí (hadic). Nevdechujte plyny a páry. Zabraňte kontaktu s pokožkou a očima. Používejte osobní ochranné pracovní prostředky podle oddílu 8. Dbejte na platné právní předpisy o bezpečnosti a ochranně zdraví.</w:t>
      </w:r>
    </w:p>
    <w:p w:rsidR="00BF612A" w:rsidRDefault="003E52AB">
      <w:pPr>
        <w:pStyle w:val="Nadpis4"/>
        <w:numPr>
          <w:ilvl w:val="1"/>
          <w:numId w:val="7"/>
        </w:numPr>
        <w:tabs>
          <w:tab w:val="left" w:pos="787"/>
          <w:tab w:val="left" w:pos="788"/>
        </w:tabs>
        <w:spacing w:before="47"/>
        <w:ind w:hanging="651"/>
      </w:pPr>
      <w:r>
        <w:t>Podmínky pro bezpečné skladování látek a směsí včetně neslučitelných látek a</w:t>
      </w:r>
      <w:r>
        <w:rPr>
          <w:spacing w:val="35"/>
        </w:rPr>
        <w:t xml:space="preserve"> </w:t>
      </w:r>
      <w:r>
        <w:t>směsí</w:t>
      </w:r>
    </w:p>
    <w:p w:rsidR="00BF612A" w:rsidRDefault="003E52AB">
      <w:pPr>
        <w:pStyle w:val="Zkladntext"/>
        <w:spacing w:before="17" w:line="242" w:lineRule="auto"/>
        <w:ind w:right="120"/>
        <w:jc w:val="both"/>
      </w:pPr>
      <w:r>
        <w:t>Skladujte v těsně uzavřených obalech na chladných, suchých a dobře větraných místech k tomu určených. Nevystavujte slunci.</w:t>
      </w:r>
    </w:p>
    <w:p w:rsidR="00BF612A" w:rsidRDefault="003E52AB">
      <w:pPr>
        <w:pStyle w:val="Zkladntext"/>
        <w:jc w:val="both"/>
      </w:pPr>
      <w:r>
        <w:t>Prevence požáru a výbuchu:</w:t>
      </w:r>
    </w:p>
    <w:p w:rsidR="00BF612A" w:rsidRDefault="003E52AB">
      <w:pPr>
        <w:pStyle w:val="Zkladntext"/>
        <w:spacing w:before="2" w:line="193" w:lineRule="exact"/>
        <w:jc w:val="both"/>
      </w:pPr>
      <w:r>
        <w:t>PRACUJTE POUZE NA STUDENÝCH ODPLYNĚNÝCH NÁDRŽÍCH, VE VĚTRANÝCH PROSTORÁCH (ABY SE PŘEDEŠLO</w:t>
      </w:r>
    </w:p>
    <w:p w:rsidR="00BF612A" w:rsidRDefault="003E52AB">
      <w:pPr>
        <w:pStyle w:val="Zkladntext"/>
        <w:ind w:right="120"/>
        <w:jc w:val="both"/>
      </w:pPr>
      <w:r>
        <w:t>NEBEZPEČÍ VÝBUCHU). Používejte mimo dosah zdrojů vznícení (otevřený oheň a jiskry) a tepla (horké potrubí a skříně). Nekouřit. Při plnění, vyprazdňování nebo manipulaci nepoužívejte stlačený vzduch. Provádějte instalace (strojního zařízení a vybavení) tak, aby nemohlo docházet k šíření hořícího produktu (nádrže, zadržovací systémy, záchytné stoky (lapače) v kanalizaci).</w:t>
      </w:r>
    </w:p>
    <w:p w:rsidR="00BF612A" w:rsidRDefault="00BF612A">
      <w:pPr>
        <w:jc w:val="both"/>
        <w:sectPr w:rsidR="00BF612A" w:rsidSect="003E52AB">
          <w:pgSz w:w="11900" w:h="16840"/>
          <w:pgMar w:top="860" w:right="700" w:bottom="1520" w:left="720" w:header="850" w:footer="397" w:gutter="0"/>
          <w:cols w:space="708"/>
          <w:docGrid w:linePitch="299"/>
        </w:sectPr>
      </w:pPr>
    </w:p>
    <w:p w:rsidR="00BF612A" w:rsidRDefault="003E52AB">
      <w:pPr>
        <w:pStyle w:val="Zkladntext"/>
        <w:spacing w:before="50" w:line="280" w:lineRule="auto"/>
        <w:ind w:right="-12"/>
      </w:pPr>
      <w:r>
        <w:t>Skladovací třída Skladovací teplota</w:t>
      </w:r>
    </w:p>
    <w:p w:rsidR="00BF612A" w:rsidRDefault="003E52AB">
      <w:pPr>
        <w:pStyle w:val="Zkladntext"/>
        <w:spacing w:before="50" w:line="280" w:lineRule="auto"/>
        <w:ind w:right="373"/>
      </w:pPr>
      <w:r>
        <w:br w:type="column"/>
      </w:r>
      <w:r>
        <w:t>12 - Nehořlavé kapaliny v nehořlavých obalech minimum 0 °C, maximum 30 °C</w:t>
      </w:r>
    </w:p>
    <w:p w:rsidR="00BF612A" w:rsidRDefault="00BF612A">
      <w:pPr>
        <w:spacing w:line="280" w:lineRule="auto"/>
        <w:sectPr w:rsidR="00BF612A">
          <w:type w:val="continuous"/>
          <w:pgSz w:w="11900" w:h="16840"/>
          <w:pgMar w:top="860" w:right="700" w:bottom="1520" w:left="720" w:header="708" w:footer="708" w:gutter="0"/>
          <w:cols w:num="2" w:space="708" w:equalWidth="0">
            <w:col w:w="2269" w:space="2529"/>
            <w:col w:w="5682"/>
          </w:cols>
        </w:sectPr>
      </w:pPr>
    </w:p>
    <w:p w:rsidR="00BF612A" w:rsidRDefault="003E52AB">
      <w:pPr>
        <w:pStyle w:val="Nadpis4"/>
        <w:spacing w:before="0"/>
      </w:pPr>
      <w:r>
        <w:t>Specifické požadavky nebo pravidla vztahující se k látce/směsi</w:t>
      </w:r>
    </w:p>
    <w:p w:rsidR="00BF612A" w:rsidRDefault="003E52AB">
      <w:pPr>
        <w:pStyle w:val="Zkladntext"/>
        <w:spacing w:before="32"/>
        <w:ind w:right="238"/>
      </w:pPr>
      <w:r>
        <w:t>Páry rozpouštědel jsou těžší než vzduch a hromadí se především u podlahy, kde ve směsi se vzduchem mohou vytvářet výbušnou směs.</w:t>
      </w:r>
    </w:p>
    <w:p w:rsidR="00BF612A" w:rsidRDefault="003E52AB">
      <w:pPr>
        <w:pStyle w:val="Nadpis4"/>
        <w:numPr>
          <w:ilvl w:val="1"/>
          <w:numId w:val="7"/>
        </w:numPr>
        <w:tabs>
          <w:tab w:val="left" w:pos="787"/>
          <w:tab w:val="left" w:pos="788"/>
        </w:tabs>
        <w:spacing w:before="32"/>
        <w:ind w:hanging="651"/>
      </w:pPr>
      <w:r>
        <w:t>Specifické konečné/specifická konečná</w:t>
      </w:r>
      <w:r>
        <w:rPr>
          <w:spacing w:val="20"/>
        </w:rPr>
        <w:t xml:space="preserve"> </w:t>
      </w:r>
      <w:r>
        <w:t>použití</w:t>
      </w:r>
    </w:p>
    <w:p w:rsidR="00BF612A" w:rsidRDefault="003E52AB">
      <w:pPr>
        <w:pStyle w:val="Zkladntext"/>
        <w:spacing w:before="21"/>
      </w:pPr>
      <w:r>
        <w:pict>
          <v:line id="_x0000_s1069" style="position:absolute;left:0;text-align:left;z-index:251653632;mso-wrap-distance-left:0;mso-wrap-distance-right:0;mso-position-horizontal-relative:page" from="41.4pt,17.5pt" to="553.9pt,17.5pt" strokeweight=".266mm">
            <w10:wrap type="topAndBottom" anchorx="page"/>
          </v:line>
        </w:pict>
      </w:r>
      <w:r>
        <w:t>neuvedeno</w:t>
      </w:r>
    </w:p>
    <w:p w:rsidR="00BF612A" w:rsidRDefault="003E52AB">
      <w:pPr>
        <w:pStyle w:val="Nadpis4"/>
        <w:spacing w:before="78"/>
        <w:ind w:left="136"/>
      </w:pPr>
      <w:bookmarkStart w:id="7" w:name="8._Omezování_expozice/osobní_ochranné_pr"/>
      <w:bookmarkEnd w:id="7"/>
      <w:r>
        <w:t>ODDÍL 8: Omezování expozice/osobní ochranné prostředky</w:t>
      </w:r>
    </w:p>
    <w:p w:rsidR="00BF612A" w:rsidRDefault="003E52AB">
      <w:pPr>
        <w:pStyle w:val="Odstavecseseznamem"/>
        <w:numPr>
          <w:ilvl w:val="1"/>
          <w:numId w:val="6"/>
        </w:numPr>
        <w:tabs>
          <w:tab w:val="left" w:pos="787"/>
          <w:tab w:val="left" w:pos="788"/>
        </w:tabs>
        <w:ind w:hanging="651"/>
        <w:rPr>
          <w:b/>
          <w:sz w:val="16"/>
        </w:rPr>
      </w:pPr>
      <w:r>
        <w:rPr>
          <w:b/>
          <w:sz w:val="16"/>
        </w:rPr>
        <w:t>Kontrolní</w:t>
      </w:r>
      <w:r>
        <w:rPr>
          <w:b/>
          <w:spacing w:val="8"/>
          <w:sz w:val="16"/>
        </w:rPr>
        <w:t xml:space="preserve"> </w:t>
      </w:r>
      <w:r>
        <w:rPr>
          <w:b/>
          <w:sz w:val="16"/>
        </w:rPr>
        <w:t>parametry</w:t>
      </w:r>
    </w:p>
    <w:p w:rsidR="00BF612A" w:rsidRDefault="003E52AB">
      <w:pPr>
        <w:pStyle w:val="Zkladntext"/>
        <w:spacing w:before="34"/>
        <w:ind w:right="193"/>
      </w:pPr>
      <w:r>
        <w:t>Směs obsahuje látky, pro něž jsou stanoveny (NV č.361/2007 Sb., v platném znění) následující koncentrační limity v pracovním prostředí (nejvyšší přípustný expoziční limit=PEL; nejvyšší přípustná koncentrace v pracovním ovzduší=NPK-P).</w:t>
      </w:r>
    </w:p>
    <w:p w:rsidR="00BF612A" w:rsidRDefault="00BF612A">
      <w:pPr>
        <w:pStyle w:val="Zkladntext"/>
        <w:spacing w:before="11"/>
        <w:ind w:left="0"/>
        <w:rPr>
          <w:sz w:val="12"/>
        </w:rPr>
      </w:pPr>
    </w:p>
    <w:p w:rsidR="00BF612A" w:rsidRDefault="003E52AB">
      <w:pPr>
        <w:pStyle w:val="Nadpis4"/>
        <w:spacing w:after="33"/>
      </w:pPr>
      <w:r>
        <w:t>Česká republika</w:t>
      </w:r>
    </w:p>
    <w:tbl>
      <w:tblPr>
        <w:tblStyle w:val="TableNormal"/>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40"/>
        <w:gridCol w:w="796"/>
        <w:gridCol w:w="1158"/>
        <w:gridCol w:w="1293"/>
        <w:gridCol w:w="2545"/>
        <w:gridCol w:w="1051"/>
      </w:tblGrid>
      <w:tr w:rsidR="00BF612A">
        <w:trPr>
          <w:trHeight w:hRule="exact" w:val="437"/>
        </w:trPr>
        <w:tc>
          <w:tcPr>
            <w:tcW w:w="2740" w:type="dxa"/>
            <w:shd w:val="clear" w:color="auto" w:fill="D2D2D2"/>
          </w:tcPr>
          <w:p w:rsidR="00BF612A" w:rsidRDefault="003E52AB">
            <w:pPr>
              <w:pStyle w:val="TableParagraph"/>
              <w:spacing w:before="114"/>
              <w:ind w:left="62"/>
              <w:rPr>
                <w:rFonts w:ascii="Verdana" w:hAnsi="Verdana"/>
                <w:sz w:val="16"/>
              </w:rPr>
            </w:pPr>
            <w:r>
              <w:rPr>
                <w:rFonts w:ascii="Verdana" w:hAnsi="Verdana"/>
                <w:sz w:val="16"/>
              </w:rPr>
              <w:t>Název látky (složky)</w:t>
            </w:r>
          </w:p>
        </w:tc>
        <w:tc>
          <w:tcPr>
            <w:tcW w:w="796" w:type="dxa"/>
            <w:shd w:val="clear" w:color="auto" w:fill="D2D2D2"/>
          </w:tcPr>
          <w:p w:rsidR="00BF612A" w:rsidRDefault="003E52AB">
            <w:pPr>
              <w:pStyle w:val="TableParagraph"/>
              <w:spacing w:before="114"/>
              <w:ind w:left="62"/>
              <w:rPr>
                <w:rFonts w:ascii="Verdana"/>
                <w:sz w:val="16"/>
              </w:rPr>
            </w:pPr>
            <w:r>
              <w:rPr>
                <w:rFonts w:ascii="Verdana"/>
                <w:sz w:val="16"/>
              </w:rPr>
              <w:t>Typ</w:t>
            </w:r>
          </w:p>
        </w:tc>
        <w:tc>
          <w:tcPr>
            <w:tcW w:w="1158" w:type="dxa"/>
            <w:shd w:val="clear" w:color="auto" w:fill="D2D2D2"/>
          </w:tcPr>
          <w:p w:rsidR="00BF612A" w:rsidRDefault="003E52AB">
            <w:pPr>
              <w:pStyle w:val="TableParagraph"/>
              <w:spacing w:before="16"/>
              <w:ind w:left="62" w:right="367"/>
              <w:rPr>
                <w:rFonts w:ascii="Verdana"/>
                <w:sz w:val="16"/>
              </w:rPr>
            </w:pPr>
            <w:r>
              <w:rPr>
                <w:rFonts w:ascii="Verdana"/>
                <w:sz w:val="16"/>
              </w:rPr>
              <w:t>Doba expozice</w:t>
            </w:r>
          </w:p>
        </w:tc>
        <w:tc>
          <w:tcPr>
            <w:tcW w:w="1293" w:type="dxa"/>
            <w:shd w:val="clear" w:color="auto" w:fill="D2D2D2"/>
          </w:tcPr>
          <w:p w:rsidR="00BF612A" w:rsidRDefault="003E52AB">
            <w:pPr>
              <w:pStyle w:val="TableParagraph"/>
              <w:spacing w:before="114"/>
              <w:ind w:left="62"/>
              <w:rPr>
                <w:rFonts w:ascii="Verdana"/>
                <w:sz w:val="16"/>
              </w:rPr>
            </w:pPr>
            <w:r>
              <w:rPr>
                <w:rFonts w:ascii="Verdana"/>
                <w:sz w:val="16"/>
              </w:rPr>
              <w:t>Hodnota</w:t>
            </w:r>
          </w:p>
        </w:tc>
        <w:tc>
          <w:tcPr>
            <w:tcW w:w="2545" w:type="dxa"/>
            <w:shd w:val="clear" w:color="auto" w:fill="D2D2D2"/>
          </w:tcPr>
          <w:p w:rsidR="00BF612A" w:rsidRDefault="003E52AB">
            <w:pPr>
              <w:pStyle w:val="TableParagraph"/>
              <w:spacing w:before="114"/>
              <w:ind w:left="62"/>
              <w:rPr>
                <w:rFonts w:ascii="Verdana" w:hAnsi="Verdana"/>
                <w:sz w:val="16"/>
              </w:rPr>
            </w:pPr>
            <w:r>
              <w:rPr>
                <w:rFonts w:ascii="Verdana" w:hAnsi="Verdana"/>
                <w:sz w:val="16"/>
              </w:rPr>
              <w:t>Poznámka</w:t>
            </w:r>
          </w:p>
        </w:tc>
        <w:tc>
          <w:tcPr>
            <w:tcW w:w="1051" w:type="dxa"/>
            <w:shd w:val="clear" w:color="auto" w:fill="D2D2D2"/>
          </w:tcPr>
          <w:p w:rsidR="00BF612A" w:rsidRDefault="003E52AB">
            <w:pPr>
              <w:pStyle w:val="TableParagraph"/>
              <w:spacing w:before="114"/>
              <w:ind w:left="62"/>
              <w:rPr>
                <w:rFonts w:ascii="Verdana"/>
                <w:sz w:val="16"/>
              </w:rPr>
            </w:pPr>
            <w:r>
              <w:rPr>
                <w:rFonts w:ascii="Verdana"/>
                <w:sz w:val="16"/>
              </w:rPr>
              <w:t>Zdroj</w:t>
            </w:r>
          </w:p>
        </w:tc>
      </w:tr>
      <w:tr w:rsidR="00BF612A">
        <w:trPr>
          <w:trHeight w:hRule="exact" w:val="636"/>
        </w:trPr>
        <w:tc>
          <w:tcPr>
            <w:tcW w:w="2740" w:type="dxa"/>
            <w:vMerge w:val="restart"/>
          </w:tcPr>
          <w:p w:rsidR="00BF612A" w:rsidRDefault="00BF612A">
            <w:pPr>
              <w:pStyle w:val="TableParagraph"/>
              <w:spacing w:before="8"/>
              <w:ind w:left="0"/>
              <w:rPr>
                <w:rFonts w:ascii="Verdana"/>
                <w:b/>
                <w:sz w:val="27"/>
              </w:rPr>
            </w:pPr>
          </w:p>
          <w:p w:rsidR="00BF612A" w:rsidRDefault="003E52AB">
            <w:pPr>
              <w:pStyle w:val="TableParagraph"/>
              <w:ind w:left="62" w:right="68"/>
              <w:rPr>
                <w:rFonts w:ascii="Verdana" w:hAnsi="Verdana"/>
                <w:sz w:val="16"/>
              </w:rPr>
            </w:pPr>
            <w:r>
              <w:rPr>
                <w:rFonts w:ascii="Verdana" w:hAnsi="Verdana"/>
                <w:sz w:val="16"/>
              </w:rPr>
              <w:t>Uhlovodíky, C11-C14, n-alkany, isoalkany, cyklické, &lt; 2% aromátů</w:t>
            </w:r>
          </w:p>
        </w:tc>
        <w:tc>
          <w:tcPr>
            <w:tcW w:w="796" w:type="dxa"/>
          </w:tcPr>
          <w:p w:rsidR="00BF612A" w:rsidRDefault="00BF612A">
            <w:pPr>
              <w:pStyle w:val="TableParagraph"/>
              <w:spacing w:before="7"/>
              <w:ind w:left="0"/>
              <w:rPr>
                <w:rFonts w:ascii="Verdana"/>
                <w:b/>
                <w:sz w:val="17"/>
              </w:rPr>
            </w:pPr>
          </w:p>
          <w:p w:rsidR="00BF612A" w:rsidRDefault="003E52AB">
            <w:pPr>
              <w:pStyle w:val="TableParagraph"/>
              <w:ind w:left="62"/>
              <w:rPr>
                <w:rFonts w:ascii="Verdana"/>
                <w:sz w:val="16"/>
              </w:rPr>
            </w:pPr>
            <w:r>
              <w:rPr>
                <w:rFonts w:ascii="Verdana"/>
                <w:sz w:val="16"/>
              </w:rPr>
              <w:t>PEL</w:t>
            </w:r>
          </w:p>
        </w:tc>
        <w:tc>
          <w:tcPr>
            <w:tcW w:w="1158" w:type="dxa"/>
          </w:tcPr>
          <w:p w:rsidR="00BF612A" w:rsidRDefault="00BF612A"/>
        </w:tc>
        <w:tc>
          <w:tcPr>
            <w:tcW w:w="1293" w:type="dxa"/>
          </w:tcPr>
          <w:p w:rsidR="00BF612A" w:rsidRDefault="00BF612A">
            <w:pPr>
              <w:pStyle w:val="TableParagraph"/>
              <w:spacing w:before="7"/>
              <w:ind w:left="0"/>
              <w:rPr>
                <w:rFonts w:ascii="Verdana"/>
                <w:b/>
                <w:sz w:val="17"/>
              </w:rPr>
            </w:pPr>
          </w:p>
          <w:p w:rsidR="00BF612A" w:rsidRDefault="003E52AB">
            <w:pPr>
              <w:pStyle w:val="TableParagraph"/>
              <w:ind w:left="62"/>
              <w:rPr>
                <w:rFonts w:ascii="Verdana" w:hAnsi="Verdana"/>
                <w:sz w:val="16"/>
              </w:rPr>
            </w:pPr>
            <w:r>
              <w:rPr>
                <w:rFonts w:ascii="Verdana" w:hAnsi="Verdana"/>
                <w:sz w:val="16"/>
              </w:rPr>
              <w:t>400 mg/m³</w:t>
            </w:r>
          </w:p>
        </w:tc>
        <w:tc>
          <w:tcPr>
            <w:tcW w:w="2545" w:type="dxa"/>
          </w:tcPr>
          <w:p w:rsidR="00BF612A" w:rsidRDefault="00BF612A"/>
        </w:tc>
        <w:tc>
          <w:tcPr>
            <w:tcW w:w="1051" w:type="dxa"/>
            <w:vMerge w:val="restart"/>
          </w:tcPr>
          <w:p w:rsidR="00BF612A" w:rsidRDefault="00BF612A"/>
        </w:tc>
      </w:tr>
      <w:tr w:rsidR="00BF612A">
        <w:trPr>
          <w:trHeight w:hRule="exact" w:val="636"/>
        </w:trPr>
        <w:tc>
          <w:tcPr>
            <w:tcW w:w="2740" w:type="dxa"/>
            <w:vMerge/>
          </w:tcPr>
          <w:p w:rsidR="00BF612A" w:rsidRDefault="00BF612A"/>
        </w:tc>
        <w:tc>
          <w:tcPr>
            <w:tcW w:w="796" w:type="dxa"/>
          </w:tcPr>
          <w:p w:rsidR="00BF612A" w:rsidRDefault="00BF612A">
            <w:pPr>
              <w:pStyle w:val="TableParagraph"/>
              <w:spacing w:before="7"/>
              <w:ind w:left="0"/>
              <w:rPr>
                <w:rFonts w:ascii="Verdana"/>
                <w:b/>
                <w:sz w:val="17"/>
              </w:rPr>
            </w:pPr>
          </w:p>
          <w:p w:rsidR="00BF612A" w:rsidRDefault="003E52AB">
            <w:pPr>
              <w:pStyle w:val="TableParagraph"/>
              <w:ind w:left="62"/>
              <w:rPr>
                <w:rFonts w:ascii="Verdana"/>
                <w:sz w:val="16"/>
              </w:rPr>
            </w:pPr>
            <w:r>
              <w:rPr>
                <w:rFonts w:ascii="Verdana"/>
                <w:sz w:val="16"/>
              </w:rPr>
              <w:t>NPK-P</w:t>
            </w:r>
          </w:p>
        </w:tc>
        <w:tc>
          <w:tcPr>
            <w:tcW w:w="1158" w:type="dxa"/>
          </w:tcPr>
          <w:p w:rsidR="00BF612A" w:rsidRDefault="00BF612A"/>
        </w:tc>
        <w:tc>
          <w:tcPr>
            <w:tcW w:w="1293" w:type="dxa"/>
          </w:tcPr>
          <w:p w:rsidR="00BF612A" w:rsidRDefault="00BF612A">
            <w:pPr>
              <w:pStyle w:val="TableParagraph"/>
              <w:spacing w:before="7"/>
              <w:ind w:left="0"/>
              <w:rPr>
                <w:rFonts w:ascii="Verdana"/>
                <w:b/>
                <w:sz w:val="17"/>
              </w:rPr>
            </w:pPr>
          </w:p>
          <w:p w:rsidR="00BF612A" w:rsidRDefault="003E52AB">
            <w:pPr>
              <w:pStyle w:val="TableParagraph"/>
              <w:ind w:left="62"/>
              <w:rPr>
                <w:rFonts w:ascii="Verdana" w:hAnsi="Verdana"/>
                <w:sz w:val="16"/>
              </w:rPr>
            </w:pPr>
            <w:r>
              <w:rPr>
                <w:rFonts w:ascii="Verdana" w:hAnsi="Verdana"/>
                <w:sz w:val="16"/>
              </w:rPr>
              <w:t>1000 mg/m³</w:t>
            </w:r>
          </w:p>
        </w:tc>
        <w:tc>
          <w:tcPr>
            <w:tcW w:w="2545" w:type="dxa"/>
          </w:tcPr>
          <w:p w:rsidR="00BF612A" w:rsidRDefault="00BF612A"/>
        </w:tc>
        <w:tc>
          <w:tcPr>
            <w:tcW w:w="1051" w:type="dxa"/>
            <w:vMerge/>
          </w:tcPr>
          <w:p w:rsidR="00BF612A" w:rsidRDefault="00BF612A"/>
        </w:tc>
      </w:tr>
    </w:tbl>
    <w:p w:rsidR="00BF612A" w:rsidRDefault="00BF612A">
      <w:pPr>
        <w:sectPr w:rsidR="00BF612A">
          <w:type w:val="continuous"/>
          <w:pgSz w:w="11900" w:h="16840"/>
          <w:pgMar w:top="860" w:right="700" w:bottom="1520" w:left="720" w:header="708" w:footer="708" w:gutter="0"/>
          <w:cols w:space="708"/>
        </w:sectPr>
      </w:pPr>
    </w:p>
    <w:p w:rsidR="00BF612A" w:rsidRDefault="003E52AB">
      <w:pPr>
        <w:pStyle w:val="Odstavecseseznamem"/>
        <w:numPr>
          <w:ilvl w:val="1"/>
          <w:numId w:val="6"/>
        </w:numPr>
        <w:tabs>
          <w:tab w:val="left" w:pos="787"/>
          <w:tab w:val="left" w:pos="788"/>
        </w:tabs>
        <w:spacing w:before="67"/>
        <w:ind w:hanging="651"/>
        <w:rPr>
          <w:b/>
          <w:sz w:val="16"/>
        </w:rPr>
      </w:pPr>
      <w:r>
        <w:rPr>
          <w:b/>
          <w:sz w:val="16"/>
        </w:rPr>
        <w:lastRenderedPageBreak/>
        <w:t>Omezování</w:t>
      </w:r>
      <w:r>
        <w:rPr>
          <w:b/>
          <w:spacing w:val="8"/>
          <w:sz w:val="16"/>
        </w:rPr>
        <w:t xml:space="preserve"> </w:t>
      </w:r>
      <w:r>
        <w:rPr>
          <w:b/>
          <w:sz w:val="16"/>
        </w:rPr>
        <w:t>expozice</w:t>
      </w:r>
    </w:p>
    <w:p w:rsidR="00BF612A" w:rsidRDefault="003E52AB">
      <w:pPr>
        <w:pStyle w:val="Zkladntext"/>
        <w:spacing w:before="17"/>
        <w:ind w:right="120"/>
        <w:jc w:val="both"/>
      </w:pPr>
      <w:r>
        <w:t>Dbejte obvyklých opatření na ochranu zdraví při práci a zejména na dobré větrání. Toho lze dosáhnout pouze   místním odsáváním nebo účinným celkovým větráním. Jestliže tak není možno dodržet NPK-P, musí být používána vhodná ochrana dýchacího ústrojí. Při práci nejezte, nepijte a nekuřte. Po práci a před přestávkou na jídlo a oddech si důkladně omyjte ruce vodou a</w:t>
      </w:r>
      <w:r>
        <w:rPr>
          <w:spacing w:val="14"/>
        </w:rPr>
        <w:t xml:space="preserve"> </w:t>
      </w:r>
      <w:r>
        <w:t>mýdlem.</w:t>
      </w:r>
    </w:p>
    <w:p w:rsidR="00BF612A" w:rsidRDefault="003E52AB">
      <w:pPr>
        <w:pStyle w:val="Nadpis4"/>
        <w:spacing w:before="49"/>
        <w:jc w:val="both"/>
      </w:pPr>
      <w:r>
        <w:t>Ochrana očí a obličeje</w:t>
      </w:r>
    </w:p>
    <w:p w:rsidR="00BF612A" w:rsidRDefault="003E52AB">
      <w:pPr>
        <w:pStyle w:val="Zkladntext"/>
        <w:spacing w:before="16"/>
        <w:jc w:val="both"/>
      </w:pPr>
      <w:r>
        <w:t>Ochranné brýle nebo obličejový štít (podle charakteru vykonávané práce).</w:t>
      </w:r>
    </w:p>
    <w:p w:rsidR="00BF612A" w:rsidRDefault="003E52AB">
      <w:pPr>
        <w:pStyle w:val="Nadpis4"/>
        <w:spacing w:before="49"/>
        <w:jc w:val="both"/>
      </w:pPr>
      <w:r>
        <w:t>Ochrana kůže</w:t>
      </w:r>
    </w:p>
    <w:p w:rsidR="00BF612A" w:rsidRDefault="003E52AB">
      <w:pPr>
        <w:pStyle w:val="Zkladntext"/>
        <w:spacing w:before="17"/>
        <w:jc w:val="both"/>
      </w:pPr>
      <w:r>
        <w:t>Ochrana rukou:</w:t>
      </w:r>
    </w:p>
    <w:p w:rsidR="00BF612A" w:rsidRDefault="003E52AB">
      <w:pPr>
        <w:pStyle w:val="Zkladntext"/>
        <w:spacing w:before="2" w:line="242" w:lineRule="auto"/>
        <w:ind w:right="238"/>
      </w:pPr>
      <w:r>
        <w:t>Ochranné rukavice v souladu s ČSN EN 374, chemická odolnost J, ochranný index minimálně třídy 2. Dbejte doporučení konkrétního výrobce rukavic při výběru vhodné tloušťky, materiálu a propustnosti.</w:t>
      </w:r>
    </w:p>
    <w:p w:rsidR="00BF612A" w:rsidRDefault="003E52AB">
      <w:pPr>
        <w:pStyle w:val="Zkladntext"/>
        <w:spacing w:line="193" w:lineRule="exact"/>
        <w:jc w:val="both"/>
      </w:pPr>
      <w:r>
        <w:t>Jiná ochrana:</w:t>
      </w:r>
    </w:p>
    <w:p w:rsidR="00BF612A" w:rsidRDefault="003E52AB">
      <w:pPr>
        <w:pStyle w:val="Zkladntext"/>
        <w:spacing w:line="193" w:lineRule="exact"/>
        <w:jc w:val="both"/>
      </w:pPr>
      <w:r>
        <w:t>Ochranný antistatický oděv (nelze-li vyloučit vznik výbušné koncentrace). Při znečištění pokožky ji důkladně omýt.</w:t>
      </w:r>
    </w:p>
    <w:p w:rsidR="00BF612A" w:rsidRDefault="003E52AB">
      <w:pPr>
        <w:pStyle w:val="Nadpis4"/>
        <w:spacing w:before="48"/>
        <w:jc w:val="both"/>
      </w:pPr>
      <w:r>
        <w:t>Ochrana dýchacích cest</w:t>
      </w:r>
    </w:p>
    <w:p w:rsidR="00BF612A" w:rsidRDefault="003E52AB">
      <w:pPr>
        <w:pStyle w:val="Zkladntext"/>
        <w:spacing w:before="19" w:line="242" w:lineRule="auto"/>
        <w:ind w:right="238"/>
      </w:pPr>
      <w:r>
        <w:t>Ve špatně větraném prostředí a/nebo při překročení NPK-P použijte ochrannou masku s filtrem proti organickým parám a aerosolům, typ A. Při havárii, požáru použijte podle okolností izolační dýchací přístroj.</w:t>
      </w:r>
    </w:p>
    <w:p w:rsidR="00BF612A" w:rsidRDefault="003E52AB">
      <w:pPr>
        <w:pStyle w:val="Nadpis4"/>
        <w:spacing w:before="42"/>
        <w:jc w:val="both"/>
      </w:pPr>
      <w:r>
        <w:t>Tepelné nebezpečí</w:t>
      </w:r>
    </w:p>
    <w:p w:rsidR="00BF612A" w:rsidRDefault="003E52AB">
      <w:pPr>
        <w:pStyle w:val="Zkladntext"/>
        <w:spacing w:before="17"/>
        <w:jc w:val="both"/>
      </w:pPr>
      <w:r>
        <w:t>Hořlavina 3. třídy.</w:t>
      </w:r>
    </w:p>
    <w:p w:rsidR="00BF612A" w:rsidRDefault="003E52AB">
      <w:pPr>
        <w:pStyle w:val="Nadpis4"/>
        <w:spacing w:before="48"/>
        <w:jc w:val="both"/>
      </w:pPr>
      <w:r>
        <w:t>Omezování expozice životního prostředí</w:t>
      </w:r>
    </w:p>
    <w:p w:rsidR="00BF612A" w:rsidRDefault="003E52AB">
      <w:pPr>
        <w:pStyle w:val="Zkladntext"/>
        <w:spacing w:before="17"/>
        <w:jc w:val="both"/>
      </w:pPr>
      <w:r>
        <w:t>Dbejte obvyklých opatření na ochranu životního prostředí, viz bod 6.2.</w:t>
      </w:r>
    </w:p>
    <w:p w:rsidR="00BF612A" w:rsidRDefault="003E52AB">
      <w:pPr>
        <w:pStyle w:val="Nadpis4"/>
        <w:spacing w:before="48"/>
        <w:jc w:val="both"/>
      </w:pPr>
      <w:r>
        <w:t>Další údaje</w:t>
      </w:r>
    </w:p>
    <w:p w:rsidR="00BF612A" w:rsidRDefault="003E52AB">
      <w:pPr>
        <w:pStyle w:val="Zkladntext"/>
        <w:spacing w:before="18"/>
        <w:jc w:val="both"/>
      </w:pPr>
      <w:r>
        <w:pict>
          <v:line id="_x0000_s1068" style="position:absolute;left:0;text-align:left;z-index:251654656;mso-wrap-distance-left:0;mso-wrap-distance-right:0;mso-position-horizontal-relative:page" from="41.4pt,17.5pt" to="553.9pt,17.5pt" strokeweight=".266mm">
            <w10:wrap type="topAndBottom" anchorx="page"/>
          </v:line>
        </w:pict>
      </w:r>
      <w:r>
        <w:t>Přílohou bezpečnostního listu je scénář expozice.</w:t>
      </w:r>
    </w:p>
    <w:p w:rsidR="00BF612A" w:rsidRDefault="003E52AB">
      <w:pPr>
        <w:pStyle w:val="Nadpis4"/>
        <w:spacing w:before="67"/>
        <w:ind w:left="136"/>
      </w:pPr>
      <w:bookmarkStart w:id="8" w:name="9._Fyzikální_a_chemické_vlastnosti"/>
      <w:bookmarkEnd w:id="8"/>
      <w:r>
        <w:t>ODDÍL 9: Fyzikální a chemické vlastnosti</w:t>
      </w:r>
    </w:p>
    <w:p w:rsidR="00BF612A" w:rsidRDefault="003E52AB">
      <w:pPr>
        <w:pStyle w:val="Odstavecseseznamem"/>
        <w:numPr>
          <w:ilvl w:val="1"/>
          <w:numId w:val="5"/>
        </w:numPr>
        <w:tabs>
          <w:tab w:val="left" w:pos="787"/>
          <w:tab w:val="left" w:pos="788"/>
        </w:tabs>
        <w:spacing w:before="33"/>
        <w:ind w:hanging="651"/>
        <w:rPr>
          <w:b/>
          <w:sz w:val="16"/>
        </w:rPr>
      </w:pPr>
      <w:r>
        <w:rPr>
          <w:b/>
          <w:sz w:val="16"/>
        </w:rPr>
        <w:t>Informace o základních fyzikálních a chemických</w:t>
      </w:r>
      <w:r>
        <w:rPr>
          <w:b/>
          <w:spacing w:val="26"/>
          <w:sz w:val="16"/>
        </w:rPr>
        <w:t xml:space="preserve"> </w:t>
      </w:r>
      <w:r>
        <w:rPr>
          <w:b/>
          <w:sz w:val="16"/>
        </w:rPr>
        <w:t>vlastnostech</w:t>
      </w:r>
    </w:p>
    <w:p w:rsidR="00BF612A" w:rsidRDefault="00BF612A">
      <w:pPr>
        <w:rPr>
          <w:sz w:val="16"/>
        </w:rPr>
        <w:sectPr w:rsidR="00BF612A" w:rsidSect="003E52AB">
          <w:pgSz w:w="11900" w:h="16840"/>
          <w:pgMar w:top="860" w:right="700" w:bottom="1520" w:left="720" w:header="850" w:footer="397" w:gutter="0"/>
          <w:cols w:space="708"/>
          <w:docGrid w:linePitch="299"/>
        </w:sectPr>
      </w:pPr>
    </w:p>
    <w:p w:rsidR="00BF612A" w:rsidRDefault="003E52AB">
      <w:pPr>
        <w:pStyle w:val="Zkladntext"/>
        <w:spacing w:before="33"/>
      </w:pPr>
      <w:r>
        <w:t>vzhled</w:t>
      </w:r>
    </w:p>
    <w:p w:rsidR="00BF612A" w:rsidRDefault="003E52AB">
      <w:pPr>
        <w:pStyle w:val="Zkladntext"/>
        <w:spacing w:before="33" w:line="280" w:lineRule="auto"/>
        <w:ind w:left="1074" w:right="3185"/>
      </w:pPr>
      <w:r>
        <w:t>skupenství barva</w:t>
      </w:r>
    </w:p>
    <w:p w:rsidR="00BF612A" w:rsidRDefault="003E52AB">
      <w:pPr>
        <w:pStyle w:val="Zkladntext"/>
      </w:pPr>
      <w:r>
        <w:t>zápach</w:t>
      </w:r>
    </w:p>
    <w:p w:rsidR="00BF612A" w:rsidRDefault="003E52AB">
      <w:pPr>
        <w:pStyle w:val="Zkladntext"/>
        <w:spacing w:before="33" w:line="280" w:lineRule="auto"/>
        <w:ind w:right="2249"/>
      </w:pPr>
      <w:r>
        <w:t>prahová hodnota zápachu pH</w:t>
      </w:r>
    </w:p>
    <w:p w:rsidR="00BF612A" w:rsidRDefault="003E52AB">
      <w:pPr>
        <w:pStyle w:val="Zkladntext"/>
      </w:pPr>
      <w:r>
        <w:t>bod tání / bod tuhnutí</w:t>
      </w:r>
    </w:p>
    <w:p w:rsidR="00BF612A" w:rsidRDefault="003E52AB">
      <w:pPr>
        <w:pStyle w:val="Zkladntext"/>
        <w:spacing w:before="33" w:line="280" w:lineRule="auto"/>
        <w:ind w:right="836"/>
      </w:pPr>
      <w:r>
        <w:t>počáteční bod varu a rozmezí bodu varu bod vzplanutí</w:t>
      </w:r>
    </w:p>
    <w:p w:rsidR="00BF612A" w:rsidRDefault="003E52AB">
      <w:pPr>
        <w:pStyle w:val="Zkladntext"/>
      </w:pPr>
      <w:r>
        <w:t>rychlost odpařování</w:t>
      </w:r>
    </w:p>
    <w:p w:rsidR="00BF612A" w:rsidRDefault="003E52AB">
      <w:pPr>
        <w:pStyle w:val="Zkladntext"/>
        <w:spacing w:before="33"/>
      </w:pPr>
      <w:r>
        <w:t>hořlavost (pevné látky, plyny)</w:t>
      </w:r>
    </w:p>
    <w:p w:rsidR="00BF612A" w:rsidRDefault="003E52AB">
      <w:pPr>
        <w:pStyle w:val="Zkladntext"/>
        <w:spacing w:before="33" w:line="280" w:lineRule="auto"/>
        <w:ind w:left="1074" w:hanging="287"/>
      </w:pPr>
      <w:r>
        <w:t>horní/dolní mezní hodnoty hořlavosti nebo výbušnosti meze hořlavosti</w:t>
      </w:r>
    </w:p>
    <w:p w:rsidR="00BF612A" w:rsidRDefault="003E52AB">
      <w:pPr>
        <w:pStyle w:val="Zkladntext"/>
        <w:spacing w:line="280" w:lineRule="auto"/>
        <w:ind w:left="1359" w:right="2697" w:hanging="285"/>
      </w:pPr>
      <w:r>
        <w:t>meze výbušnosti dolní</w:t>
      </w:r>
    </w:p>
    <w:p w:rsidR="00BF612A" w:rsidRDefault="003E52AB">
      <w:pPr>
        <w:pStyle w:val="Zkladntext"/>
        <w:spacing w:line="280" w:lineRule="auto"/>
        <w:ind w:right="3031" w:firstLine="571"/>
      </w:pPr>
      <w:r>
        <w:t>horní tlak páry hustota páry relativní hustota rozpustnost</w:t>
      </w:r>
    </w:p>
    <w:p w:rsidR="00BF612A" w:rsidRDefault="003E52AB">
      <w:pPr>
        <w:pStyle w:val="Zkladntext"/>
        <w:spacing w:line="280" w:lineRule="auto"/>
        <w:ind w:left="1074" w:right="2180"/>
      </w:pPr>
      <w:r>
        <w:t>rozpustnost ve vodě rozpustnost v tucích organická rozpouštědla</w:t>
      </w:r>
    </w:p>
    <w:p w:rsidR="00BF612A" w:rsidRDefault="003E52AB">
      <w:pPr>
        <w:pStyle w:val="Zkladntext"/>
        <w:spacing w:line="280" w:lineRule="auto"/>
        <w:ind w:right="1242"/>
      </w:pPr>
      <w:r>
        <w:t>rozdělovací koeficient: n-oktanol/voda teplota samovznícení</w:t>
      </w:r>
    </w:p>
    <w:p w:rsidR="00BF612A" w:rsidRDefault="003E52AB">
      <w:pPr>
        <w:pStyle w:val="Zkladntext"/>
        <w:spacing w:line="280" w:lineRule="auto"/>
        <w:ind w:right="3033"/>
      </w:pPr>
      <w:r>
        <w:t>teplota rozkladu viskozita</w:t>
      </w:r>
    </w:p>
    <w:p w:rsidR="00BF612A" w:rsidRDefault="003E52AB">
      <w:pPr>
        <w:pStyle w:val="Zkladntext"/>
        <w:spacing w:before="18" w:line="424" w:lineRule="exact"/>
        <w:ind w:right="2836"/>
      </w:pPr>
      <w:r>
        <w:t>výbušné vlastnosti oxidační vlastnosti</w:t>
      </w:r>
    </w:p>
    <w:p w:rsidR="00BF612A" w:rsidRDefault="003E52AB">
      <w:pPr>
        <w:pStyle w:val="Zkladntext"/>
        <w:spacing w:before="33" w:line="280" w:lineRule="auto"/>
        <w:ind w:left="407" w:right="1641"/>
      </w:pPr>
      <w:r>
        <w:br w:type="column"/>
      </w:r>
      <w:r>
        <w:t>čirá kapalina bez mechanických nečistot kapalné při 20°C</w:t>
      </w:r>
    </w:p>
    <w:p w:rsidR="00BF612A" w:rsidRDefault="003E52AB">
      <w:pPr>
        <w:pStyle w:val="Zkladntext"/>
        <w:ind w:left="407"/>
      </w:pPr>
      <w:r>
        <w:t>bezbarvý</w:t>
      </w:r>
    </w:p>
    <w:p w:rsidR="00BF612A" w:rsidRDefault="003E52AB">
      <w:pPr>
        <w:pStyle w:val="Zkladntext"/>
        <w:spacing w:before="33" w:line="280" w:lineRule="auto"/>
        <w:ind w:left="407" w:right="3236"/>
      </w:pPr>
      <w:r>
        <w:t>velmi slabý, ropný údaj není k dispozici údaj není k dispozici</w:t>
      </w:r>
    </w:p>
    <w:p w:rsidR="00BF612A" w:rsidRDefault="003E52AB">
      <w:pPr>
        <w:pStyle w:val="Zkladntext"/>
        <w:ind w:left="407"/>
      </w:pPr>
      <w:r>
        <w:t>-43 °C (ISO3016)</w:t>
      </w:r>
    </w:p>
    <w:p w:rsidR="00BF612A" w:rsidRDefault="003E52AB">
      <w:pPr>
        <w:pStyle w:val="Zkladntext"/>
        <w:spacing w:before="33"/>
        <w:ind w:left="407"/>
      </w:pPr>
      <w:r>
        <w:t>190-280 °C (ISO345)</w:t>
      </w:r>
    </w:p>
    <w:p w:rsidR="00BF612A" w:rsidRDefault="003E52AB">
      <w:pPr>
        <w:pStyle w:val="Zkladntext"/>
        <w:spacing w:before="33"/>
        <w:ind w:left="407"/>
      </w:pPr>
      <w:r>
        <w:t>&gt;62 °C (ISO2719)</w:t>
      </w:r>
    </w:p>
    <w:p w:rsidR="00BF612A" w:rsidRDefault="003E52AB">
      <w:pPr>
        <w:pStyle w:val="Zkladntext"/>
        <w:spacing w:before="33"/>
        <w:ind w:left="407"/>
      </w:pPr>
      <w:r>
        <w:t>600 (EtEt=1)</w:t>
      </w:r>
    </w:p>
    <w:p w:rsidR="00BF612A" w:rsidRDefault="003E52AB">
      <w:pPr>
        <w:pStyle w:val="Zkladntext"/>
        <w:spacing w:before="33"/>
        <w:ind w:left="407"/>
      </w:pPr>
      <w:r>
        <w:t>hořlavina 3. třídy</w:t>
      </w:r>
    </w:p>
    <w:p w:rsidR="00BF612A" w:rsidRDefault="00BF612A">
      <w:pPr>
        <w:pStyle w:val="Zkladntext"/>
        <w:spacing w:before="6"/>
        <w:ind w:left="0"/>
        <w:rPr>
          <w:sz w:val="21"/>
        </w:rPr>
      </w:pPr>
    </w:p>
    <w:p w:rsidR="00BF612A" w:rsidRDefault="003E52AB">
      <w:pPr>
        <w:pStyle w:val="Zkladntext"/>
        <w:spacing w:line="280" w:lineRule="auto"/>
        <w:ind w:left="407" w:right="3236"/>
      </w:pPr>
      <w:r>
        <w:t>údaj není k dispozici výpočtem</w:t>
      </w:r>
    </w:p>
    <w:p w:rsidR="00BF612A" w:rsidRDefault="003E52AB">
      <w:pPr>
        <w:pStyle w:val="Zkladntext"/>
        <w:ind w:left="407"/>
      </w:pPr>
      <w:r>
        <w:t>0,5 %</w:t>
      </w:r>
    </w:p>
    <w:p w:rsidR="00BF612A" w:rsidRDefault="003E52AB">
      <w:pPr>
        <w:pStyle w:val="Zkladntext"/>
        <w:spacing w:before="33"/>
        <w:ind w:left="407"/>
      </w:pPr>
      <w:r>
        <w:t>6,0 %</w:t>
      </w:r>
    </w:p>
    <w:p w:rsidR="00BF612A" w:rsidRDefault="003E52AB">
      <w:pPr>
        <w:pStyle w:val="Zkladntext"/>
        <w:spacing w:before="33"/>
        <w:ind w:left="407"/>
      </w:pPr>
      <w:r>
        <w:t>0,15 hPa při 20 °C</w:t>
      </w:r>
    </w:p>
    <w:p w:rsidR="00BF612A" w:rsidRDefault="003E52AB">
      <w:pPr>
        <w:pStyle w:val="Zkladntext"/>
        <w:spacing w:before="33"/>
        <w:ind w:left="407"/>
      </w:pPr>
      <w:r>
        <w:t>&gt;1</w:t>
      </w:r>
    </w:p>
    <w:p w:rsidR="00BF612A" w:rsidRDefault="003E52AB">
      <w:pPr>
        <w:pStyle w:val="Zkladntext"/>
        <w:spacing w:before="33"/>
        <w:ind w:left="407"/>
      </w:pPr>
      <w:r>
        <w:t>údaj není k dispozici</w:t>
      </w:r>
    </w:p>
    <w:p w:rsidR="00BF612A" w:rsidRDefault="00BF612A">
      <w:pPr>
        <w:pStyle w:val="Zkladntext"/>
        <w:spacing w:before="5"/>
        <w:ind w:left="0"/>
        <w:rPr>
          <w:sz w:val="21"/>
        </w:rPr>
      </w:pPr>
    </w:p>
    <w:p w:rsidR="00BF612A" w:rsidRDefault="003E52AB">
      <w:pPr>
        <w:pStyle w:val="Zkladntext"/>
        <w:spacing w:before="1" w:line="280" w:lineRule="auto"/>
        <w:ind w:left="407" w:right="3883"/>
      </w:pPr>
      <w:r>
        <w:t>nerozpustný neuvádí se rozpustný</w:t>
      </w:r>
    </w:p>
    <w:p w:rsidR="00BF612A" w:rsidRDefault="003E52AB">
      <w:pPr>
        <w:pStyle w:val="Zkladntext"/>
        <w:ind w:left="407"/>
      </w:pPr>
      <w:r>
        <w:t>údaj není k dispozici</w:t>
      </w:r>
    </w:p>
    <w:p w:rsidR="00BF612A" w:rsidRDefault="003E52AB">
      <w:pPr>
        <w:pStyle w:val="Zkladntext"/>
        <w:spacing w:before="33"/>
        <w:ind w:left="407"/>
      </w:pPr>
      <w:r>
        <w:t>&gt;220 °C</w:t>
      </w:r>
    </w:p>
    <w:p w:rsidR="00BF612A" w:rsidRDefault="003E52AB">
      <w:pPr>
        <w:pStyle w:val="Zkladntext"/>
        <w:spacing w:before="33"/>
        <w:ind w:left="407"/>
      </w:pPr>
      <w:r>
        <w:t>údaj není k dispozici</w:t>
      </w:r>
    </w:p>
    <w:p w:rsidR="00BF612A" w:rsidRDefault="003E52AB">
      <w:pPr>
        <w:pStyle w:val="Zkladntext"/>
        <w:spacing w:before="33"/>
        <w:ind w:left="407"/>
      </w:pPr>
      <w:r>
        <w:t>&lt;2 mm2/s (40°C)</w:t>
      </w:r>
    </w:p>
    <w:p w:rsidR="00BF612A" w:rsidRDefault="003E52AB">
      <w:pPr>
        <w:pStyle w:val="Zkladntext"/>
        <w:spacing w:before="34"/>
        <w:ind w:left="407" w:right="27"/>
      </w:pPr>
      <w:r>
        <w:t>V kontaktu se vzduchem může tvořit výbušné směsi. Produkt akumuluje elektrostatický náboj; může dojít ke vznícení.</w:t>
      </w:r>
    </w:p>
    <w:p w:rsidR="00BF612A" w:rsidRDefault="003E52AB">
      <w:pPr>
        <w:pStyle w:val="Zkladntext"/>
        <w:spacing w:before="34"/>
        <w:ind w:left="407"/>
      </w:pPr>
      <w:r>
        <w:t>nejsou</w:t>
      </w:r>
    </w:p>
    <w:p w:rsidR="00BF612A" w:rsidRDefault="00BF612A">
      <w:pPr>
        <w:sectPr w:rsidR="00BF612A" w:rsidSect="003E52AB">
          <w:type w:val="continuous"/>
          <w:pgSz w:w="11900" w:h="16840"/>
          <w:pgMar w:top="860" w:right="700" w:bottom="1520" w:left="720" w:header="850" w:footer="397" w:gutter="0"/>
          <w:cols w:num="2" w:space="708" w:equalWidth="0">
            <w:col w:w="5140" w:space="40"/>
            <w:col w:w="5300"/>
          </w:cols>
          <w:docGrid w:linePitch="299"/>
        </w:sectPr>
      </w:pPr>
    </w:p>
    <w:p w:rsidR="00BF612A" w:rsidRDefault="00BF612A">
      <w:pPr>
        <w:rPr>
          <w:sz w:val="16"/>
        </w:rPr>
        <w:sectPr w:rsidR="00BF612A" w:rsidSect="003E52AB">
          <w:pgSz w:w="11900" w:h="16840"/>
          <w:pgMar w:top="860" w:right="700" w:bottom="1520" w:left="720" w:header="850" w:footer="397" w:gutter="0"/>
          <w:cols w:space="708"/>
          <w:docGrid w:linePitch="299"/>
        </w:sectPr>
      </w:pPr>
    </w:p>
    <w:p w:rsidR="00BF612A" w:rsidRDefault="003E52AB">
      <w:pPr>
        <w:pStyle w:val="Zkladntext"/>
        <w:spacing w:before="67"/>
        <w:ind w:left="1074"/>
      </w:pPr>
      <w:r>
        <w:t>údaj není k dispozici</w:t>
      </w:r>
    </w:p>
    <w:p w:rsidR="00BF612A" w:rsidRDefault="003E52AB">
      <w:pPr>
        <w:pStyle w:val="Nadpis4"/>
        <w:numPr>
          <w:ilvl w:val="1"/>
          <w:numId w:val="5"/>
        </w:numPr>
        <w:tabs>
          <w:tab w:val="left" w:pos="651"/>
          <w:tab w:val="left" w:pos="788"/>
        </w:tabs>
        <w:spacing w:before="32"/>
        <w:ind w:right="2744" w:hanging="651"/>
      </w:pPr>
      <w:r>
        <w:t>Další</w:t>
      </w:r>
      <w:r>
        <w:rPr>
          <w:spacing w:val="6"/>
        </w:rPr>
        <w:t xml:space="preserve"> </w:t>
      </w:r>
      <w:r>
        <w:t>informace</w:t>
      </w:r>
    </w:p>
    <w:p w:rsidR="00BF612A" w:rsidRDefault="003E52AB">
      <w:pPr>
        <w:pStyle w:val="Zkladntext"/>
        <w:spacing w:before="32"/>
      </w:pPr>
      <w:r>
        <w:t>hustota</w:t>
      </w:r>
    </w:p>
    <w:p w:rsidR="00BF612A" w:rsidRDefault="003E52AB">
      <w:pPr>
        <w:pStyle w:val="Zkladntext"/>
        <w:spacing w:before="32"/>
      </w:pPr>
      <w:r>
        <w:t>teplota vznícení</w:t>
      </w:r>
    </w:p>
    <w:p w:rsidR="00BF612A" w:rsidRDefault="003E52AB">
      <w:pPr>
        <w:pStyle w:val="Zkladntext"/>
        <w:spacing w:before="32" w:line="280" w:lineRule="auto"/>
        <w:ind w:right="704"/>
      </w:pPr>
      <w:r>
        <w:t>obsah organických rozpouštědel (VOC) obsah celkového organického uhlíku (TOC) obsah netěkavých látek (sušiny)</w:t>
      </w:r>
    </w:p>
    <w:p w:rsidR="00BF612A" w:rsidRDefault="003E52AB">
      <w:pPr>
        <w:pStyle w:val="Zkladntext"/>
        <w:spacing w:line="180" w:lineRule="exact"/>
      </w:pPr>
      <w:r>
        <w:t>Povrchové napětí (při 25°C) 0,0257 N/m (EN 14370)</w:t>
      </w:r>
    </w:p>
    <w:p w:rsidR="00BF612A" w:rsidRDefault="003E52AB">
      <w:pPr>
        <w:pStyle w:val="Zkladntext"/>
        <w:ind w:left="0"/>
        <w:rPr>
          <w:sz w:val="18"/>
        </w:rPr>
      </w:pPr>
      <w:r>
        <w:br w:type="column"/>
      </w:r>
    </w:p>
    <w:p w:rsidR="00BF612A" w:rsidRDefault="00BF612A">
      <w:pPr>
        <w:pStyle w:val="Zkladntext"/>
        <w:spacing w:before="7"/>
        <w:ind w:left="0"/>
        <w:rPr>
          <w:sz w:val="23"/>
        </w:rPr>
      </w:pPr>
    </w:p>
    <w:p w:rsidR="00BF612A" w:rsidRDefault="003E52AB">
      <w:pPr>
        <w:pStyle w:val="Zkladntext"/>
        <w:ind w:left="136"/>
      </w:pPr>
      <w:r>
        <w:t>0,825 g/cm</w:t>
      </w:r>
      <w:proofErr w:type="gramStart"/>
      <w:r>
        <w:rPr>
          <w:position w:val="6"/>
          <w:sz w:val="10"/>
        </w:rPr>
        <w:t xml:space="preserve">3  </w:t>
      </w:r>
      <w:r>
        <w:t>při</w:t>
      </w:r>
      <w:proofErr w:type="gramEnd"/>
      <w:r>
        <w:t xml:space="preserve"> 15 °C (ISO12185)</w:t>
      </w:r>
    </w:p>
    <w:p w:rsidR="00BF612A" w:rsidRDefault="003E52AB">
      <w:pPr>
        <w:pStyle w:val="Zkladntext"/>
        <w:spacing w:before="51" w:line="280" w:lineRule="auto"/>
        <w:ind w:left="136" w:right="3236"/>
      </w:pPr>
      <w:r>
        <w:t>údaj není k dispozici 0,99 kg/kg</w:t>
      </w:r>
    </w:p>
    <w:p w:rsidR="00BF612A" w:rsidRDefault="003E52AB">
      <w:pPr>
        <w:pStyle w:val="Zkladntext"/>
        <w:ind w:left="136"/>
      </w:pPr>
      <w:r>
        <w:t>0,85 kg/kg</w:t>
      </w:r>
    </w:p>
    <w:p w:rsidR="00BF612A" w:rsidRDefault="003E52AB">
      <w:pPr>
        <w:pStyle w:val="Zkladntext"/>
        <w:spacing w:before="33"/>
        <w:ind w:left="136"/>
      </w:pPr>
      <w:r>
        <w:t>0 % objemu</w:t>
      </w:r>
    </w:p>
    <w:p w:rsidR="00BF612A" w:rsidRDefault="00BF612A">
      <w:pPr>
        <w:sectPr w:rsidR="00BF612A">
          <w:type w:val="continuous"/>
          <w:pgSz w:w="11900" w:h="16840"/>
          <w:pgMar w:top="860" w:right="700" w:bottom="1520" w:left="720" w:header="708" w:footer="708" w:gutter="0"/>
          <w:cols w:num="2" w:space="708" w:equalWidth="0">
            <w:col w:w="5079" w:space="372"/>
            <w:col w:w="5029"/>
          </w:cols>
        </w:sectPr>
      </w:pPr>
    </w:p>
    <w:p w:rsidR="00BF612A" w:rsidRDefault="00BF612A">
      <w:pPr>
        <w:pStyle w:val="Zkladntext"/>
        <w:spacing w:before="8"/>
        <w:ind w:left="0"/>
        <w:rPr>
          <w:sz w:val="10"/>
        </w:rPr>
      </w:pPr>
    </w:p>
    <w:p w:rsidR="00BF612A" w:rsidRDefault="003E52AB">
      <w:pPr>
        <w:pStyle w:val="Zkladntext"/>
        <w:spacing w:line="20" w:lineRule="exact"/>
        <w:ind w:left="99"/>
        <w:rPr>
          <w:sz w:val="2"/>
        </w:rPr>
      </w:pPr>
      <w:r>
        <w:rPr>
          <w:sz w:val="2"/>
        </w:rPr>
      </w:r>
      <w:r>
        <w:rPr>
          <w:sz w:val="2"/>
        </w:rPr>
        <w:pict>
          <v:group id="_x0000_s1066" style="width:513.3pt;height:.8pt;mso-position-horizontal-relative:char;mso-position-vertical-relative:line" coordsize="10266,16">
            <v:line id="_x0000_s1067" style="position:absolute" from="8,8" to="10258,8" strokeweight=".266mm"/>
            <w10:anchorlock/>
          </v:group>
        </w:pict>
      </w:r>
    </w:p>
    <w:p w:rsidR="00BF612A" w:rsidRDefault="00BF612A">
      <w:pPr>
        <w:pStyle w:val="Zkladntext"/>
        <w:spacing w:before="6"/>
        <w:ind w:left="0"/>
        <w:rPr>
          <w:sz w:val="10"/>
        </w:rPr>
      </w:pPr>
    </w:p>
    <w:p w:rsidR="00BF612A" w:rsidRDefault="003E52AB">
      <w:pPr>
        <w:pStyle w:val="Nadpis4"/>
        <w:ind w:left="136"/>
      </w:pPr>
      <w:bookmarkStart w:id="9" w:name="10._Stálost_a_reaktivita"/>
      <w:bookmarkEnd w:id="9"/>
      <w:r>
        <w:t>ODDÍL 10: Stálost a reaktivita</w:t>
      </w:r>
    </w:p>
    <w:p w:rsidR="00BF612A" w:rsidRDefault="003E52AB">
      <w:pPr>
        <w:pStyle w:val="Odstavecseseznamem"/>
        <w:numPr>
          <w:ilvl w:val="1"/>
          <w:numId w:val="4"/>
        </w:numPr>
        <w:tabs>
          <w:tab w:val="left" w:pos="787"/>
          <w:tab w:val="left" w:pos="788"/>
        </w:tabs>
        <w:spacing w:before="33"/>
        <w:ind w:hanging="651"/>
        <w:rPr>
          <w:b/>
          <w:sz w:val="16"/>
        </w:rPr>
      </w:pPr>
      <w:r>
        <w:rPr>
          <w:b/>
          <w:sz w:val="16"/>
        </w:rPr>
        <w:t>Reaktivita</w:t>
      </w:r>
    </w:p>
    <w:p w:rsidR="00BF612A" w:rsidRDefault="003E52AB">
      <w:pPr>
        <w:pStyle w:val="Zkladntext"/>
        <w:spacing w:before="33"/>
      </w:pPr>
      <w:r>
        <w:t>Látka je nehořlavá.</w:t>
      </w:r>
    </w:p>
    <w:p w:rsidR="00BF612A" w:rsidRDefault="003E52AB">
      <w:pPr>
        <w:pStyle w:val="Nadpis4"/>
        <w:numPr>
          <w:ilvl w:val="1"/>
          <w:numId w:val="4"/>
        </w:numPr>
        <w:tabs>
          <w:tab w:val="left" w:pos="787"/>
          <w:tab w:val="left" w:pos="788"/>
        </w:tabs>
        <w:spacing w:before="33"/>
        <w:ind w:hanging="651"/>
      </w:pPr>
      <w:r>
        <w:t>Chemická</w:t>
      </w:r>
      <w:r>
        <w:rPr>
          <w:spacing w:val="7"/>
        </w:rPr>
        <w:t xml:space="preserve"> </w:t>
      </w:r>
      <w:r>
        <w:t>stabilita</w:t>
      </w:r>
    </w:p>
    <w:p w:rsidR="00BF612A" w:rsidRDefault="003E52AB">
      <w:pPr>
        <w:pStyle w:val="Zkladntext"/>
        <w:spacing w:before="33"/>
      </w:pPr>
      <w:r>
        <w:t>Při normálních podmínkách je směs stabilní.</w:t>
      </w:r>
    </w:p>
    <w:p w:rsidR="00BF612A" w:rsidRDefault="003E52AB">
      <w:pPr>
        <w:pStyle w:val="Nadpis4"/>
        <w:numPr>
          <w:ilvl w:val="1"/>
          <w:numId w:val="4"/>
        </w:numPr>
        <w:tabs>
          <w:tab w:val="left" w:pos="787"/>
          <w:tab w:val="left" w:pos="788"/>
        </w:tabs>
        <w:spacing w:before="33"/>
        <w:ind w:hanging="651"/>
      </w:pPr>
      <w:r>
        <w:t>Možnost nebezpečných</w:t>
      </w:r>
      <w:r>
        <w:rPr>
          <w:spacing w:val="12"/>
        </w:rPr>
        <w:t xml:space="preserve"> </w:t>
      </w:r>
      <w:r>
        <w:t>reakcí</w:t>
      </w:r>
    </w:p>
    <w:p w:rsidR="00BF612A" w:rsidRDefault="003E52AB">
      <w:pPr>
        <w:pStyle w:val="Zkladntext"/>
        <w:spacing w:before="33"/>
      </w:pPr>
      <w:r>
        <w:t>Při normálních podmínkách je směs stabilní.</w:t>
      </w:r>
    </w:p>
    <w:p w:rsidR="00BF612A" w:rsidRDefault="003E52AB">
      <w:pPr>
        <w:pStyle w:val="Nadpis4"/>
        <w:numPr>
          <w:ilvl w:val="1"/>
          <w:numId w:val="4"/>
        </w:numPr>
        <w:tabs>
          <w:tab w:val="left" w:pos="787"/>
          <w:tab w:val="left" w:pos="788"/>
        </w:tabs>
        <w:spacing w:before="33"/>
        <w:ind w:hanging="651"/>
      </w:pPr>
      <w:r>
        <w:t>Podmínky, kterým je třeba</w:t>
      </w:r>
      <w:r>
        <w:rPr>
          <w:spacing w:val="14"/>
        </w:rPr>
        <w:t xml:space="preserve"> </w:t>
      </w:r>
      <w:r>
        <w:t>zabránit</w:t>
      </w:r>
    </w:p>
    <w:p w:rsidR="00BF612A" w:rsidRDefault="003E52AB">
      <w:pPr>
        <w:pStyle w:val="Zkladntext"/>
        <w:spacing w:before="18" w:line="242" w:lineRule="auto"/>
        <w:ind w:right="238"/>
      </w:pPr>
      <w:r>
        <w:t>Za normálního způsobu použití je směs stabilní, k rozkladu nedochází. Chraňte před plameny, jiskrami, přehřátím a před mrazem.</w:t>
      </w:r>
    </w:p>
    <w:p w:rsidR="00BF612A" w:rsidRDefault="003E52AB">
      <w:pPr>
        <w:pStyle w:val="Nadpis4"/>
        <w:numPr>
          <w:ilvl w:val="1"/>
          <w:numId w:val="4"/>
        </w:numPr>
        <w:tabs>
          <w:tab w:val="left" w:pos="787"/>
          <w:tab w:val="left" w:pos="788"/>
        </w:tabs>
        <w:spacing w:before="43"/>
        <w:ind w:hanging="651"/>
      </w:pPr>
      <w:r>
        <w:t>Neslučitelné</w:t>
      </w:r>
      <w:r>
        <w:rPr>
          <w:spacing w:val="9"/>
        </w:rPr>
        <w:t xml:space="preserve"> </w:t>
      </w:r>
      <w:r>
        <w:t>materiály</w:t>
      </w:r>
    </w:p>
    <w:p w:rsidR="00BF612A" w:rsidRDefault="003E52AB">
      <w:pPr>
        <w:pStyle w:val="Zkladntext"/>
        <w:spacing w:before="20"/>
      </w:pPr>
      <w:r>
        <w:t>Chraňte před silnými kyselinami, zásadami a oxidačními činidly. Zabrání se tím vzniku nebezpečné exotermní reakce.</w:t>
      </w:r>
    </w:p>
    <w:p w:rsidR="00BF612A" w:rsidRDefault="003E52AB">
      <w:pPr>
        <w:pStyle w:val="Nadpis4"/>
        <w:numPr>
          <w:ilvl w:val="1"/>
          <w:numId w:val="4"/>
        </w:numPr>
        <w:tabs>
          <w:tab w:val="left" w:pos="787"/>
          <w:tab w:val="left" w:pos="788"/>
        </w:tabs>
        <w:spacing w:before="45"/>
        <w:ind w:hanging="651"/>
      </w:pPr>
      <w:r>
        <w:t>Nebezpečné produkty</w:t>
      </w:r>
      <w:r>
        <w:rPr>
          <w:spacing w:val="13"/>
        </w:rPr>
        <w:t xml:space="preserve"> </w:t>
      </w:r>
      <w:r>
        <w:t>rozkladu</w:t>
      </w:r>
    </w:p>
    <w:p w:rsidR="00BF612A" w:rsidRDefault="003E52AB">
      <w:pPr>
        <w:pStyle w:val="Zkladntext"/>
        <w:spacing w:before="28" w:line="192" w:lineRule="exact"/>
        <w:ind w:right="238"/>
      </w:pPr>
      <w:r>
        <w:pict>
          <v:line id="_x0000_s1065" style="position:absolute;left:0;text-align:left;z-index:251655680;mso-wrap-distance-left:0;mso-wrap-distance-right:0;mso-position-horizontal-relative:page" from="41.4pt,27.2pt" to="553.9pt,27.2pt" strokeweight=".266mm">
            <w10:wrap type="topAndBottom" anchorx="page"/>
          </v:line>
        </w:pict>
      </w:r>
      <w:r>
        <w:t>Za normálního způsobu použití nevznikají. Při vysokých teplotách a při požáru vznikají nebezpečné produkty, jako např. oxid uhelnatý a oxid uhličitý, dým a oxidy dusíku.</w:t>
      </w:r>
    </w:p>
    <w:p w:rsidR="00BF612A" w:rsidRDefault="00BF612A">
      <w:pPr>
        <w:pStyle w:val="Zkladntext"/>
        <w:spacing w:before="1"/>
        <w:ind w:left="0"/>
        <w:rPr>
          <w:sz w:val="14"/>
        </w:rPr>
      </w:pPr>
    </w:p>
    <w:p w:rsidR="00BF612A" w:rsidRDefault="003E52AB">
      <w:pPr>
        <w:pStyle w:val="Nadpis4"/>
        <w:ind w:left="136"/>
      </w:pPr>
      <w:bookmarkStart w:id="10" w:name="11._Toxikologické_informace"/>
      <w:bookmarkEnd w:id="10"/>
      <w:r>
        <w:t>ODDÍL 11: Toxikologické informace</w:t>
      </w:r>
    </w:p>
    <w:p w:rsidR="00BF612A" w:rsidRDefault="003E52AB">
      <w:pPr>
        <w:tabs>
          <w:tab w:val="left" w:pos="787"/>
        </w:tabs>
        <w:spacing w:before="33"/>
        <w:ind w:left="136"/>
        <w:rPr>
          <w:b/>
          <w:sz w:val="16"/>
        </w:rPr>
      </w:pPr>
      <w:r>
        <w:rPr>
          <w:b/>
          <w:sz w:val="16"/>
        </w:rPr>
        <w:t>11.1</w:t>
      </w:r>
      <w:r>
        <w:rPr>
          <w:b/>
          <w:sz w:val="16"/>
        </w:rPr>
        <w:tab/>
        <w:t>Informace o toxikologických</w:t>
      </w:r>
      <w:r>
        <w:rPr>
          <w:b/>
          <w:spacing w:val="15"/>
          <w:sz w:val="16"/>
        </w:rPr>
        <w:t xml:space="preserve"> </w:t>
      </w:r>
      <w:r>
        <w:rPr>
          <w:b/>
          <w:sz w:val="16"/>
        </w:rPr>
        <w:t>účincích</w:t>
      </w:r>
    </w:p>
    <w:p w:rsidR="00BF612A" w:rsidRDefault="003E52AB">
      <w:pPr>
        <w:pStyle w:val="Zkladntext"/>
        <w:spacing w:before="33"/>
      </w:pPr>
      <w:r>
        <w:t>Pro látku nejsou žádné toxikologické údaje k dispozici.</w:t>
      </w:r>
    </w:p>
    <w:p w:rsidR="00BF612A" w:rsidRDefault="00BF612A">
      <w:pPr>
        <w:pStyle w:val="Zkladntext"/>
        <w:spacing w:before="10"/>
        <w:ind w:left="0"/>
        <w:rPr>
          <w:sz w:val="11"/>
        </w:rPr>
      </w:pPr>
    </w:p>
    <w:p w:rsidR="00BF612A" w:rsidRDefault="003E52AB">
      <w:pPr>
        <w:pStyle w:val="Nadpis4"/>
      </w:pPr>
      <w:r>
        <w:t>Akutní toxicita</w:t>
      </w:r>
    </w:p>
    <w:p w:rsidR="00BF612A" w:rsidRDefault="003E52AB">
      <w:pPr>
        <w:pStyle w:val="Zkladntext"/>
        <w:spacing w:before="66"/>
        <w:ind w:right="238"/>
      </w:pPr>
      <w:r>
        <w:t xml:space="preserve">Při požití a vniknutí do dýchacích cest může způsobit </w:t>
      </w:r>
      <w:proofErr w:type="gramStart"/>
      <w:r>
        <w:t>smrt.Při</w:t>
      </w:r>
      <w:proofErr w:type="gramEnd"/>
      <w:r>
        <w:t xml:space="preserve"> náhodném požití může vniknout do plic a vzhledem k jeho nízké viskozitě vyvolat rychle se rozvíjející poškození plic. (prohlídka lékaře během 48 hodin). Po požití může způsobit gastrointestinální podráždění, nevolnost, zvracení a průjem. Bolesti břicha. Může vyvolat útlum centrálního nervového systému.</w:t>
      </w:r>
    </w:p>
    <w:p w:rsidR="00BF612A" w:rsidRDefault="003E52AB">
      <w:pPr>
        <w:pStyle w:val="Zkladntext"/>
        <w:spacing w:before="131" w:after="17"/>
        <w:ind w:left="816"/>
      </w:pPr>
      <w:r>
        <w:t>Uhlovodíky, C11-C14, n-alkany, isoalkany, cyklické, &lt; 2% aromátů</w:t>
      </w:r>
    </w:p>
    <w:tbl>
      <w:tblPr>
        <w:tblStyle w:val="TableNormal"/>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3"/>
        <w:gridCol w:w="1172"/>
        <w:gridCol w:w="1367"/>
        <w:gridCol w:w="1563"/>
        <w:gridCol w:w="1057"/>
        <w:gridCol w:w="1243"/>
        <w:gridCol w:w="879"/>
        <w:gridCol w:w="869"/>
      </w:tblGrid>
      <w:tr w:rsidR="00BF612A">
        <w:trPr>
          <w:trHeight w:hRule="exact" w:val="441"/>
        </w:trPr>
        <w:tc>
          <w:tcPr>
            <w:tcW w:w="1433" w:type="dxa"/>
            <w:shd w:val="clear" w:color="auto" w:fill="D2D2D2"/>
          </w:tcPr>
          <w:p w:rsidR="00BF612A" w:rsidRDefault="003E52AB">
            <w:pPr>
              <w:pStyle w:val="TableParagraph"/>
              <w:spacing w:before="116"/>
              <w:ind w:left="56"/>
              <w:rPr>
                <w:rFonts w:ascii="Verdana"/>
                <w:sz w:val="16"/>
              </w:rPr>
            </w:pPr>
            <w:r>
              <w:rPr>
                <w:rFonts w:ascii="Verdana"/>
                <w:sz w:val="16"/>
              </w:rPr>
              <w:t>Cesta expozice</w:t>
            </w:r>
          </w:p>
        </w:tc>
        <w:tc>
          <w:tcPr>
            <w:tcW w:w="1172" w:type="dxa"/>
            <w:shd w:val="clear" w:color="auto" w:fill="D2D2D2"/>
          </w:tcPr>
          <w:p w:rsidR="00BF612A" w:rsidRDefault="003E52AB">
            <w:pPr>
              <w:pStyle w:val="TableParagraph"/>
              <w:spacing w:before="116"/>
              <w:ind w:left="56"/>
              <w:rPr>
                <w:rFonts w:ascii="Verdana"/>
                <w:sz w:val="16"/>
              </w:rPr>
            </w:pPr>
            <w:r>
              <w:rPr>
                <w:rFonts w:ascii="Verdana"/>
                <w:sz w:val="16"/>
              </w:rPr>
              <w:t>Parametr</w:t>
            </w:r>
          </w:p>
        </w:tc>
        <w:tc>
          <w:tcPr>
            <w:tcW w:w="1367" w:type="dxa"/>
            <w:shd w:val="clear" w:color="auto" w:fill="D2D2D2"/>
          </w:tcPr>
          <w:p w:rsidR="00BF612A" w:rsidRDefault="003E52AB">
            <w:pPr>
              <w:pStyle w:val="TableParagraph"/>
              <w:spacing w:before="116"/>
              <w:ind w:left="56"/>
              <w:rPr>
                <w:rFonts w:ascii="Verdana"/>
                <w:sz w:val="16"/>
              </w:rPr>
            </w:pPr>
            <w:r>
              <w:rPr>
                <w:rFonts w:ascii="Verdana"/>
                <w:sz w:val="16"/>
              </w:rPr>
              <w:t>Metoda</w:t>
            </w:r>
          </w:p>
        </w:tc>
        <w:tc>
          <w:tcPr>
            <w:tcW w:w="1563" w:type="dxa"/>
            <w:shd w:val="clear" w:color="auto" w:fill="D2D2D2"/>
          </w:tcPr>
          <w:p w:rsidR="00BF612A" w:rsidRDefault="003E52AB">
            <w:pPr>
              <w:pStyle w:val="TableParagraph"/>
              <w:spacing w:before="116"/>
              <w:ind w:left="56"/>
              <w:rPr>
                <w:rFonts w:ascii="Verdana"/>
                <w:sz w:val="16"/>
              </w:rPr>
            </w:pPr>
            <w:r>
              <w:rPr>
                <w:rFonts w:ascii="Verdana"/>
                <w:sz w:val="16"/>
              </w:rPr>
              <w:t>Hodnota</w:t>
            </w:r>
          </w:p>
        </w:tc>
        <w:tc>
          <w:tcPr>
            <w:tcW w:w="1057" w:type="dxa"/>
            <w:shd w:val="clear" w:color="auto" w:fill="D2D2D2"/>
          </w:tcPr>
          <w:p w:rsidR="00BF612A" w:rsidRDefault="003E52AB">
            <w:pPr>
              <w:pStyle w:val="TableParagraph"/>
              <w:spacing w:before="18"/>
              <w:ind w:left="56" w:right="272"/>
              <w:rPr>
                <w:rFonts w:ascii="Verdana"/>
                <w:sz w:val="16"/>
              </w:rPr>
            </w:pPr>
            <w:r>
              <w:rPr>
                <w:rFonts w:ascii="Verdana"/>
                <w:sz w:val="16"/>
              </w:rPr>
              <w:t>Doba expozice</w:t>
            </w:r>
          </w:p>
        </w:tc>
        <w:tc>
          <w:tcPr>
            <w:tcW w:w="1243" w:type="dxa"/>
            <w:shd w:val="clear" w:color="auto" w:fill="D2D2D2"/>
          </w:tcPr>
          <w:p w:rsidR="00BF612A" w:rsidRDefault="003E52AB">
            <w:pPr>
              <w:pStyle w:val="TableParagraph"/>
              <w:spacing w:before="116"/>
              <w:ind w:left="56"/>
              <w:rPr>
                <w:rFonts w:ascii="Verdana"/>
                <w:sz w:val="16"/>
              </w:rPr>
            </w:pPr>
            <w:r>
              <w:rPr>
                <w:rFonts w:ascii="Verdana"/>
                <w:sz w:val="16"/>
              </w:rPr>
              <w:t>Druh</w:t>
            </w:r>
          </w:p>
        </w:tc>
        <w:tc>
          <w:tcPr>
            <w:tcW w:w="879" w:type="dxa"/>
            <w:shd w:val="clear" w:color="auto" w:fill="D2D2D2"/>
          </w:tcPr>
          <w:p w:rsidR="00BF612A" w:rsidRDefault="003E52AB">
            <w:pPr>
              <w:pStyle w:val="TableParagraph"/>
              <w:spacing w:before="116"/>
              <w:ind w:left="56"/>
              <w:rPr>
                <w:rFonts w:ascii="Verdana" w:hAnsi="Verdana"/>
                <w:sz w:val="16"/>
              </w:rPr>
            </w:pPr>
            <w:r>
              <w:rPr>
                <w:rFonts w:ascii="Verdana" w:hAnsi="Verdana"/>
                <w:sz w:val="16"/>
              </w:rPr>
              <w:t>Pohlaví</w:t>
            </w:r>
          </w:p>
        </w:tc>
        <w:tc>
          <w:tcPr>
            <w:tcW w:w="869" w:type="dxa"/>
            <w:shd w:val="clear" w:color="auto" w:fill="D2D2D2"/>
          </w:tcPr>
          <w:p w:rsidR="00BF612A" w:rsidRDefault="003E52AB">
            <w:pPr>
              <w:pStyle w:val="TableParagraph"/>
              <w:spacing w:before="116"/>
              <w:ind w:left="56"/>
              <w:rPr>
                <w:rFonts w:ascii="Verdana"/>
                <w:sz w:val="16"/>
              </w:rPr>
            </w:pPr>
            <w:r>
              <w:rPr>
                <w:rFonts w:ascii="Verdana"/>
                <w:sz w:val="16"/>
              </w:rPr>
              <w:t>Zdroj</w:t>
            </w:r>
          </w:p>
        </w:tc>
      </w:tr>
      <w:tr w:rsidR="00BF612A">
        <w:trPr>
          <w:trHeight w:hRule="exact" w:val="437"/>
        </w:trPr>
        <w:tc>
          <w:tcPr>
            <w:tcW w:w="1433" w:type="dxa"/>
          </w:tcPr>
          <w:p w:rsidR="00BF612A" w:rsidRDefault="003E52AB">
            <w:pPr>
              <w:pStyle w:val="TableParagraph"/>
              <w:spacing w:before="1"/>
              <w:ind w:left="56"/>
              <w:rPr>
                <w:rFonts w:ascii="Verdana" w:hAnsi="Verdana"/>
                <w:sz w:val="16"/>
              </w:rPr>
            </w:pPr>
            <w:r>
              <w:rPr>
                <w:rFonts w:ascii="Verdana" w:hAnsi="Verdana"/>
                <w:sz w:val="16"/>
              </w:rPr>
              <w:t>Orálně</w:t>
            </w:r>
          </w:p>
        </w:tc>
        <w:tc>
          <w:tcPr>
            <w:tcW w:w="1172" w:type="dxa"/>
          </w:tcPr>
          <w:p w:rsidR="00BF612A" w:rsidRDefault="003E52AB">
            <w:pPr>
              <w:pStyle w:val="TableParagraph"/>
              <w:spacing w:before="1"/>
              <w:ind w:left="56"/>
              <w:rPr>
                <w:rFonts w:ascii="Verdana"/>
                <w:sz w:val="16"/>
              </w:rPr>
            </w:pPr>
            <w:r>
              <w:rPr>
                <w:rFonts w:ascii="Verdana"/>
                <w:sz w:val="16"/>
              </w:rPr>
              <w:t>LD50</w:t>
            </w:r>
          </w:p>
        </w:tc>
        <w:tc>
          <w:tcPr>
            <w:tcW w:w="1367" w:type="dxa"/>
          </w:tcPr>
          <w:p w:rsidR="00BF612A" w:rsidRDefault="003E52AB">
            <w:pPr>
              <w:pStyle w:val="TableParagraph"/>
              <w:spacing w:before="1"/>
              <w:ind w:left="56"/>
              <w:rPr>
                <w:rFonts w:ascii="Verdana"/>
                <w:sz w:val="16"/>
              </w:rPr>
            </w:pPr>
            <w:r>
              <w:rPr>
                <w:rFonts w:ascii="Verdana"/>
                <w:sz w:val="16"/>
              </w:rPr>
              <w:t>OECD 401</w:t>
            </w:r>
          </w:p>
        </w:tc>
        <w:tc>
          <w:tcPr>
            <w:tcW w:w="1563" w:type="dxa"/>
          </w:tcPr>
          <w:p w:rsidR="00BF612A" w:rsidRDefault="003E52AB">
            <w:pPr>
              <w:pStyle w:val="TableParagraph"/>
              <w:spacing w:before="1"/>
              <w:ind w:left="56"/>
              <w:rPr>
                <w:rFonts w:ascii="Verdana"/>
                <w:sz w:val="16"/>
              </w:rPr>
            </w:pPr>
            <w:r>
              <w:rPr>
                <w:rFonts w:ascii="Verdana"/>
                <w:sz w:val="16"/>
              </w:rPr>
              <w:t>&gt;5000 mg/kg bw</w:t>
            </w:r>
          </w:p>
        </w:tc>
        <w:tc>
          <w:tcPr>
            <w:tcW w:w="1057" w:type="dxa"/>
          </w:tcPr>
          <w:p w:rsidR="00BF612A" w:rsidRDefault="00BF612A"/>
        </w:tc>
        <w:tc>
          <w:tcPr>
            <w:tcW w:w="1243" w:type="dxa"/>
          </w:tcPr>
          <w:p w:rsidR="00BF612A" w:rsidRDefault="003E52AB">
            <w:pPr>
              <w:pStyle w:val="TableParagraph"/>
              <w:spacing w:before="1"/>
              <w:ind w:left="56"/>
              <w:rPr>
                <w:rFonts w:ascii="Verdana"/>
                <w:sz w:val="16"/>
              </w:rPr>
            </w:pPr>
            <w:r>
              <w:rPr>
                <w:rFonts w:ascii="Verdana"/>
                <w:sz w:val="16"/>
              </w:rPr>
              <w:t>Potkan</w:t>
            </w:r>
          </w:p>
        </w:tc>
        <w:tc>
          <w:tcPr>
            <w:tcW w:w="879" w:type="dxa"/>
          </w:tcPr>
          <w:p w:rsidR="00BF612A" w:rsidRDefault="00BF612A"/>
        </w:tc>
        <w:tc>
          <w:tcPr>
            <w:tcW w:w="869" w:type="dxa"/>
          </w:tcPr>
          <w:p w:rsidR="00BF612A" w:rsidRDefault="003E52AB">
            <w:pPr>
              <w:pStyle w:val="TableParagraph"/>
              <w:spacing w:before="1"/>
              <w:ind w:left="56"/>
              <w:rPr>
                <w:rFonts w:ascii="Verdana"/>
                <w:sz w:val="16"/>
              </w:rPr>
            </w:pPr>
            <w:r>
              <w:rPr>
                <w:rFonts w:ascii="Verdana"/>
                <w:sz w:val="16"/>
              </w:rPr>
              <w:t>SDS</w:t>
            </w:r>
          </w:p>
          <w:p w:rsidR="00BF612A" w:rsidRDefault="003E52AB">
            <w:pPr>
              <w:pStyle w:val="TableParagraph"/>
              <w:spacing w:before="1"/>
              <w:ind w:left="56"/>
              <w:rPr>
                <w:rFonts w:ascii="Verdana"/>
                <w:sz w:val="16"/>
              </w:rPr>
            </w:pPr>
            <w:r>
              <w:rPr>
                <w:rFonts w:ascii="Verdana"/>
                <w:sz w:val="16"/>
              </w:rPr>
              <w:t>Supplier</w:t>
            </w:r>
          </w:p>
        </w:tc>
      </w:tr>
      <w:tr w:rsidR="00BF612A">
        <w:trPr>
          <w:trHeight w:hRule="exact" w:val="437"/>
        </w:trPr>
        <w:tc>
          <w:tcPr>
            <w:tcW w:w="1433" w:type="dxa"/>
          </w:tcPr>
          <w:p w:rsidR="00BF612A" w:rsidRDefault="003E52AB">
            <w:pPr>
              <w:pStyle w:val="TableParagraph"/>
              <w:spacing w:before="1"/>
              <w:ind w:left="56"/>
              <w:rPr>
                <w:rFonts w:ascii="Verdana" w:hAnsi="Verdana"/>
                <w:sz w:val="16"/>
              </w:rPr>
            </w:pPr>
            <w:r>
              <w:rPr>
                <w:rFonts w:ascii="Verdana" w:hAnsi="Verdana"/>
                <w:sz w:val="16"/>
              </w:rPr>
              <w:t>Dermálně</w:t>
            </w:r>
          </w:p>
        </w:tc>
        <w:tc>
          <w:tcPr>
            <w:tcW w:w="1172" w:type="dxa"/>
          </w:tcPr>
          <w:p w:rsidR="00BF612A" w:rsidRDefault="003E52AB">
            <w:pPr>
              <w:pStyle w:val="TableParagraph"/>
              <w:spacing w:before="1"/>
              <w:ind w:left="56"/>
              <w:rPr>
                <w:rFonts w:ascii="Verdana"/>
                <w:sz w:val="16"/>
              </w:rPr>
            </w:pPr>
            <w:r>
              <w:rPr>
                <w:rFonts w:ascii="Verdana"/>
                <w:sz w:val="16"/>
              </w:rPr>
              <w:t>LD50</w:t>
            </w:r>
          </w:p>
        </w:tc>
        <w:tc>
          <w:tcPr>
            <w:tcW w:w="1367" w:type="dxa"/>
          </w:tcPr>
          <w:p w:rsidR="00BF612A" w:rsidRDefault="003E52AB">
            <w:pPr>
              <w:pStyle w:val="TableParagraph"/>
              <w:spacing w:before="1"/>
              <w:ind w:left="56"/>
              <w:rPr>
                <w:rFonts w:ascii="Verdana"/>
                <w:sz w:val="16"/>
              </w:rPr>
            </w:pPr>
            <w:r>
              <w:rPr>
                <w:rFonts w:ascii="Verdana"/>
                <w:sz w:val="16"/>
              </w:rPr>
              <w:t>OECD 402</w:t>
            </w:r>
          </w:p>
        </w:tc>
        <w:tc>
          <w:tcPr>
            <w:tcW w:w="1563" w:type="dxa"/>
          </w:tcPr>
          <w:p w:rsidR="00BF612A" w:rsidRDefault="003E52AB">
            <w:pPr>
              <w:pStyle w:val="TableParagraph"/>
              <w:spacing w:before="1"/>
              <w:ind w:left="56"/>
              <w:rPr>
                <w:rFonts w:ascii="Verdana"/>
                <w:sz w:val="16"/>
              </w:rPr>
            </w:pPr>
            <w:r>
              <w:rPr>
                <w:rFonts w:ascii="Verdana"/>
                <w:sz w:val="16"/>
              </w:rPr>
              <w:t>&gt;5000 mg/kg bw</w:t>
            </w:r>
          </w:p>
        </w:tc>
        <w:tc>
          <w:tcPr>
            <w:tcW w:w="1057" w:type="dxa"/>
          </w:tcPr>
          <w:p w:rsidR="00BF612A" w:rsidRDefault="003E52AB">
            <w:pPr>
              <w:pStyle w:val="TableParagraph"/>
              <w:spacing w:before="1"/>
              <w:ind w:left="56"/>
              <w:rPr>
                <w:rFonts w:ascii="Verdana"/>
                <w:sz w:val="16"/>
              </w:rPr>
            </w:pPr>
            <w:r>
              <w:rPr>
                <w:rFonts w:ascii="Verdana"/>
                <w:sz w:val="16"/>
              </w:rPr>
              <w:t>24 hod</w:t>
            </w:r>
          </w:p>
        </w:tc>
        <w:tc>
          <w:tcPr>
            <w:tcW w:w="1243" w:type="dxa"/>
          </w:tcPr>
          <w:p w:rsidR="00BF612A" w:rsidRDefault="003E52AB">
            <w:pPr>
              <w:pStyle w:val="TableParagraph"/>
              <w:spacing w:before="1"/>
              <w:ind w:left="56"/>
              <w:rPr>
                <w:rFonts w:ascii="Verdana" w:hAnsi="Verdana"/>
                <w:sz w:val="16"/>
              </w:rPr>
            </w:pPr>
            <w:r>
              <w:rPr>
                <w:rFonts w:ascii="Verdana" w:hAnsi="Verdana"/>
                <w:sz w:val="16"/>
              </w:rPr>
              <w:t>Králík</w:t>
            </w:r>
          </w:p>
        </w:tc>
        <w:tc>
          <w:tcPr>
            <w:tcW w:w="879" w:type="dxa"/>
          </w:tcPr>
          <w:p w:rsidR="00BF612A" w:rsidRDefault="00BF612A"/>
        </w:tc>
        <w:tc>
          <w:tcPr>
            <w:tcW w:w="869" w:type="dxa"/>
          </w:tcPr>
          <w:p w:rsidR="00BF612A" w:rsidRDefault="003E52AB">
            <w:pPr>
              <w:pStyle w:val="TableParagraph"/>
              <w:spacing w:before="1"/>
              <w:ind w:left="56"/>
              <w:rPr>
                <w:rFonts w:ascii="Verdana"/>
                <w:sz w:val="16"/>
              </w:rPr>
            </w:pPr>
            <w:r>
              <w:rPr>
                <w:rFonts w:ascii="Verdana"/>
                <w:sz w:val="16"/>
              </w:rPr>
              <w:t>SDS</w:t>
            </w:r>
          </w:p>
          <w:p w:rsidR="00BF612A" w:rsidRDefault="003E52AB">
            <w:pPr>
              <w:pStyle w:val="TableParagraph"/>
              <w:spacing w:before="1"/>
              <w:ind w:left="56"/>
              <w:rPr>
                <w:rFonts w:ascii="Verdana"/>
                <w:sz w:val="16"/>
              </w:rPr>
            </w:pPr>
            <w:r>
              <w:rPr>
                <w:rFonts w:ascii="Verdana"/>
                <w:sz w:val="16"/>
              </w:rPr>
              <w:t>Supplier</w:t>
            </w:r>
          </w:p>
        </w:tc>
      </w:tr>
      <w:tr w:rsidR="00BF612A">
        <w:trPr>
          <w:trHeight w:hRule="exact" w:val="437"/>
        </w:trPr>
        <w:tc>
          <w:tcPr>
            <w:tcW w:w="1433" w:type="dxa"/>
          </w:tcPr>
          <w:p w:rsidR="00BF612A" w:rsidRDefault="003E52AB">
            <w:pPr>
              <w:pStyle w:val="TableParagraph"/>
              <w:spacing w:before="1"/>
              <w:ind w:left="56"/>
              <w:rPr>
                <w:rFonts w:ascii="Verdana" w:hAnsi="Verdana"/>
                <w:sz w:val="16"/>
              </w:rPr>
            </w:pPr>
            <w:r>
              <w:rPr>
                <w:rFonts w:ascii="Verdana" w:hAnsi="Verdana"/>
                <w:sz w:val="16"/>
              </w:rPr>
              <w:t>Inhalačně</w:t>
            </w:r>
          </w:p>
        </w:tc>
        <w:tc>
          <w:tcPr>
            <w:tcW w:w="1172" w:type="dxa"/>
          </w:tcPr>
          <w:p w:rsidR="00BF612A" w:rsidRDefault="003E52AB">
            <w:pPr>
              <w:pStyle w:val="TableParagraph"/>
              <w:spacing w:before="1"/>
              <w:ind w:left="56"/>
              <w:rPr>
                <w:rFonts w:ascii="Verdana"/>
                <w:sz w:val="16"/>
              </w:rPr>
            </w:pPr>
            <w:r>
              <w:rPr>
                <w:rFonts w:ascii="Verdana"/>
                <w:sz w:val="16"/>
              </w:rPr>
              <w:t>LC50</w:t>
            </w:r>
          </w:p>
        </w:tc>
        <w:tc>
          <w:tcPr>
            <w:tcW w:w="1367" w:type="dxa"/>
          </w:tcPr>
          <w:p w:rsidR="00BF612A" w:rsidRDefault="003E52AB">
            <w:pPr>
              <w:pStyle w:val="TableParagraph"/>
              <w:spacing w:before="1"/>
              <w:ind w:left="56"/>
              <w:rPr>
                <w:rFonts w:ascii="Verdana"/>
                <w:sz w:val="16"/>
              </w:rPr>
            </w:pPr>
            <w:r>
              <w:rPr>
                <w:rFonts w:ascii="Verdana"/>
                <w:sz w:val="16"/>
              </w:rPr>
              <w:t>OECD 403</w:t>
            </w:r>
          </w:p>
        </w:tc>
        <w:tc>
          <w:tcPr>
            <w:tcW w:w="1563" w:type="dxa"/>
          </w:tcPr>
          <w:p w:rsidR="00BF612A" w:rsidRDefault="003E52AB">
            <w:pPr>
              <w:pStyle w:val="TableParagraph"/>
              <w:spacing w:before="1"/>
              <w:ind w:left="56"/>
              <w:rPr>
                <w:rFonts w:ascii="Verdana" w:hAnsi="Verdana"/>
                <w:sz w:val="16"/>
              </w:rPr>
            </w:pPr>
            <w:r>
              <w:rPr>
                <w:rFonts w:ascii="Verdana" w:hAnsi="Verdana"/>
                <w:sz w:val="16"/>
              </w:rPr>
              <w:t>&gt;5000 mg/m³</w:t>
            </w:r>
          </w:p>
        </w:tc>
        <w:tc>
          <w:tcPr>
            <w:tcW w:w="1057" w:type="dxa"/>
          </w:tcPr>
          <w:p w:rsidR="00BF612A" w:rsidRDefault="003E52AB">
            <w:pPr>
              <w:pStyle w:val="TableParagraph"/>
              <w:spacing w:before="1"/>
              <w:ind w:left="56"/>
              <w:rPr>
                <w:rFonts w:ascii="Verdana"/>
                <w:sz w:val="16"/>
              </w:rPr>
            </w:pPr>
            <w:r>
              <w:rPr>
                <w:rFonts w:ascii="Verdana"/>
                <w:sz w:val="16"/>
              </w:rPr>
              <w:t>8 hod</w:t>
            </w:r>
          </w:p>
        </w:tc>
        <w:tc>
          <w:tcPr>
            <w:tcW w:w="1243" w:type="dxa"/>
          </w:tcPr>
          <w:p w:rsidR="00BF612A" w:rsidRDefault="003E52AB">
            <w:pPr>
              <w:pStyle w:val="TableParagraph"/>
              <w:spacing w:before="1"/>
              <w:ind w:left="56"/>
              <w:rPr>
                <w:rFonts w:ascii="Verdana"/>
                <w:sz w:val="16"/>
              </w:rPr>
            </w:pPr>
            <w:r>
              <w:rPr>
                <w:rFonts w:ascii="Verdana"/>
                <w:sz w:val="16"/>
              </w:rPr>
              <w:t>Potkan</w:t>
            </w:r>
          </w:p>
        </w:tc>
        <w:tc>
          <w:tcPr>
            <w:tcW w:w="879" w:type="dxa"/>
          </w:tcPr>
          <w:p w:rsidR="00BF612A" w:rsidRDefault="00BF612A"/>
        </w:tc>
        <w:tc>
          <w:tcPr>
            <w:tcW w:w="869" w:type="dxa"/>
          </w:tcPr>
          <w:p w:rsidR="00BF612A" w:rsidRDefault="003E52AB">
            <w:pPr>
              <w:pStyle w:val="TableParagraph"/>
              <w:spacing w:before="1"/>
              <w:ind w:left="56"/>
              <w:rPr>
                <w:rFonts w:ascii="Verdana"/>
                <w:sz w:val="16"/>
              </w:rPr>
            </w:pPr>
            <w:r>
              <w:rPr>
                <w:rFonts w:ascii="Verdana"/>
                <w:sz w:val="16"/>
              </w:rPr>
              <w:t>SDS</w:t>
            </w:r>
          </w:p>
          <w:p w:rsidR="00BF612A" w:rsidRDefault="003E52AB">
            <w:pPr>
              <w:pStyle w:val="TableParagraph"/>
              <w:spacing w:before="1"/>
              <w:ind w:left="56"/>
              <w:rPr>
                <w:rFonts w:ascii="Verdana"/>
                <w:sz w:val="16"/>
              </w:rPr>
            </w:pPr>
            <w:r>
              <w:rPr>
                <w:rFonts w:ascii="Verdana"/>
                <w:sz w:val="16"/>
              </w:rPr>
              <w:t>Supplier</w:t>
            </w:r>
          </w:p>
        </w:tc>
      </w:tr>
    </w:tbl>
    <w:p w:rsidR="00BF612A" w:rsidRDefault="00BF612A">
      <w:pPr>
        <w:pStyle w:val="Zkladntext"/>
        <w:spacing w:before="9"/>
        <w:ind w:left="0"/>
        <w:rPr>
          <w:sz w:val="19"/>
        </w:rPr>
      </w:pPr>
    </w:p>
    <w:p w:rsidR="00BF612A" w:rsidRDefault="003E52AB">
      <w:pPr>
        <w:pStyle w:val="Nadpis4"/>
        <w:spacing w:before="0"/>
      </w:pPr>
      <w:r>
        <w:t>Žíravost / dráždivost pro kůži</w:t>
      </w:r>
    </w:p>
    <w:p w:rsidR="00BF612A" w:rsidRDefault="003E52AB">
      <w:pPr>
        <w:pStyle w:val="Zkladntext"/>
        <w:spacing w:before="33"/>
        <w:ind w:right="238"/>
      </w:pPr>
      <w:r>
        <w:t xml:space="preserve">Na základě dostupných údajů nejsou kritéria pro klasifikaci </w:t>
      </w:r>
      <w:proofErr w:type="gramStart"/>
      <w:r>
        <w:t>splněna.Další</w:t>
      </w:r>
      <w:proofErr w:type="gramEnd"/>
      <w:r>
        <w:t xml:space="preserve"> informace: Častý a dlouhodobý kontakt s kůží může poškodit kyselý ochranný film a způsobit dermatitidu.</w:t>
      </w:r>
    </w:p>
    <w:p w:rsidR="00BF612A" w:rsidRDefault="00BF612A">
      <w:pPr>
        <w:pStyle w:val="Zkladntext"/>
        <w:spacing w:before="4"/>
        <w:ind w:left="0"/>
        <w:rPr>
          <w:sz w:val="21"/>
        </w:rPr>
      </w:pPr>
    </w:p>
    <w:p w:rsidR="00BF612A" w:rsidRDefault="003E52AB">
      <w:pPr>
        <w:pStyle w:val="Nadpis4"/>
        <w:spacing w:before="0"/>
      </w:pPr>
      <w:r>
        <w:t>Vážné poškození očí / podráždění očí</w:t>
      </w:r>
    </w:p>
    <w:p w:rsidR="00BF612A" w:rsidRDefault="003E52AB">
      <w:pPr>
        <w:pStyle w:val="Zkladntext"/>
        <w:spacing w:before="33"/>
      </w:pPr>
      <w:r>
        <w:t>Na základě dostupných údajů nejsou kritéria pro klasifikaci splněna.</w:t>
      </w:r>
    </w:p>
    <w:p w:rsidR="00BF612A" w:rsidRDefault="00BF612A">
      <w:pPr>
        <w:pStyle w:val="Zkladntext"/>
        <w:spacing w:before="5"/>
        <w:ind w:left="0"/>
        <w:rPr>
          <w:sz w:val="22"/>
        </w:rPr>
      </w:pPr>
    </w:p>
    <w:p w:rsidR="00BF612A" w:rsidRDefault="003E52AB">
      <w:pPr>
        <w:pStyle w:val="Nadpis4"/>
        <w:spacing w:before="0"/>
      </w:pPr>
      <w:r>
        <w:t>Senzibilizace dýchacích cest / senzibilizace kůže</w:t>
      </w:r>
    </w:p>
    <w:p w:rsidR="00BF612A" w:rsidRDefault="003E52AB">
      <w:pPr>
        <w:pStyle w:val="Zkladntext"/>
        <w:spacing w:before="33"/>
      </w:pPr>
      <w:r>
        <w:t>Na základě dostupných údajů nejsou kritéria pro klasifikaci splněna.</w:t>
      </w:r>
    </w:p>
    <w:p w:rsidR="00BF612A" w:rsidRDefault="00BF612A">
      <w:pPr>
        <w:sectPr w:rsidR="00BF612A" w:rsidSect="003E52AB">
          <w:type w:val="continuous"/>
          <w:pgSz w:w="11900" w:h="16840"/>
          <w:pgMar w:top="860" w:right="700" w:bottom="1520" w:left="720" w:header="850" w:footer="397" w:gutter="0"/>
          <w:cols w:space="708"/>
          <w:docGrid w:linePitch="299"/>
        </w:sectPr>
      </w:pPr>
    </w:p>
    <w:p w:rsidR="00BF612A" w:rsidRDefault="00BF612A">
      <w:pPr>
        <w:pStyle w:val="Zkladntext"/>
        <w:spacing w:before="8"/>
        <w:ind w:left="0"/>
        <w:rPr>
          <w:sz w:val="14"/>
        </w:rPr>
      </w:pPr>
    </w:p>
    <w:p w:rsidR="00BF612A" w:rsidRDefault="003E52AB">
      <w:pPr>
        <w:pStyle w:val="Nadpis4"/>
      </w:pPr>
      <w:r>
        <w:t>Mutagenita v zárodečných buňkách</w:t>
      </w:r>
    </w:p>
    <w:p w:rsidR="00BF612A" w:rsidRDefault="003E52AB">
      <w:pPr>
        <w:pStyle w:val="Zkladntext"/>
        <w:spacing w:before="33"/>
      </w:pPr>
      <w:r>
        <w:t>Na základě dostupných údajů nejsou kritéria pro klasifikaci splněna.</w:t>
      </w:r>
    </w:p>
    <w:p w:rsidR="00BF612A" w:rsidRDefault="00BF612A">
      <w:pPr>
        <w:pStyle w:val="Zkladntext"/>
        <w:spacing w:before="5"/>
        <w:ind w:left="0"/>
        <w:rPr>
          <w:sz w:val="21"/>
        </w:rPr>
      </w:pPr>
    </w:p>
    <w:p w:rsidR="00BF612A" w:rsidRDefault="003E52AB">
      <w:pPr>
        <w:pStyle w:val="Nadpis4"/>
        <w:spacing w:before="1"/>
      </w:pPr>
      <w:r>
        <w:t>Karcinogenita</w:t>
      </w:r>
    </w:p>
    <w:p w:rsidR="00BF612A" w:rsidRDefault="003E52AB">
      <w:pPr>
        <w:pStyle w:val="Zkladntext"/>
        <w:spacing w:before="33"/>
      </w:pPr>
      <w:r>
        <w:t>Na základě dostupných údajů nejsou kritéria pro klasifikaci splněna.</w:t>
      </w:r>
    </w:p>
    <w:p w:rsidR="00BF612A" w:rsidRDefault="00BF612A">
      <w:pPr>
        <w:pStyle w:val="Zkladntext"/>
        <w:spacing w:before="5"/>
        <w:ind w:left="0"/>
        <w:rPr>
          <w:sz w:val="21"/>
        </w:rPr>
      </w:pPr>
    </w:p>
    <w:p w:rsidR="00BF612A" w:rsidRDefault="003E52AB">
      <w:pPr>
        <w:pStyle w:val="Nadpis4"/>
        <w:spacing w:before="0"/>
      </w:pPr>
      <w:r>
        <w:t>Toxicita pro reprodukci</w:t>
      </w:r>
    </w:p>
    <w:p w:rsidR="00BF612A" w:rsidRDefault="003E52AB">
      <w:pPr>
        <w:pStyle w:val="Zkladntext"/>
        <w:spacing w:before="33"/>
      </w:pPr>
      <w:r>
        <w:t>Na základě dostupných údajů nejsou kritéria pro klasifikaci splněna.</w:t>
      </w:r>
    </w:p>
    <w:p w:rsidR="00BF612A" w:rsidRDefault="00BF612A">
      <w:pPr>
        <w:pStyle w:val="Zkladntext"/>
        <w:spacing w:before="6"/>
        <w:ind w:left="0"/>
        <w:rPr>
          <w:sz w:val="21"/>
        </w:rPr>
      </w:pPr>
    </w:p>
    <w:p w:rsidR="00BF612A" w:rsidRDefault="003E52AB">
      <w:pPr>
        <w:pStyle w:val="Nadpis4"/>
        <w:spacing w:before="0"/>
      </w:pPr>
      <w:r>
        <w:t>Toxicita pro specifické cílové orgány – jednorázová expozice</w:t>
      </w:r>
    </w:p>
    <w:p w:rsidR="00BF612A" w:rsidRDefault="003E52AB">
      <w:pPr>
        <w:pStyle w:val="Zkladntext"/>
        <w:spacing w:before="33"/>
      </w:pPr>
      <w:r>
        <w:t>Na základě dostupných údajů nejsou kritéria pro klasifikaci splněna.</w:t>
      </w:r>
    </w:p>
    <w:p w:rsidR="00BF612A" w:rsidRDefault="00BF612A">
      <w:pPr>
        <w:pStyle w:val="Zkladntext"/>
        <w:spacing w:before="5"/>
        <w:ind w:left="0"/>
        <w:rPr>
          <w:sz w:val="21"/>
        </w:rPr>
      </w:pPr>
    </w:p>
    <w:p w:rsidR="00BF612A" w:rsidRDefault="003E52AB">
      <w:pPr>
        <w:pStyle w:val="Nadpis4"/>
        <w:spacing w:before="1"/>
      </w:pPr>
      <w:r>
        <w:t>Toxicita pro specifické cílové orgány – opakovaná expozice</w:t>
      </w:r>
    </w:p>
    <w:p w:rsidR="00BF612A" w:rsidRDefault="003E52AB">
      <w:pPr>
        <w:pStyle w:val="Zkladntext"/>
        <w:spacing w:before="33"/>
      </w:pPr>
      <w:r>
        <w:t>Na základě dostupných údajů nejsou kritéria pro klasifikaci splněna.</w:t>
      </w:r>
    </w:p>
    <w:p w:rsidR="00BF612A" w:rsidRDefault="00BF612A">
      <w:pPr>
        <w:pStyle w:val="Zkladntext"/>
        <w:spacing w:before="5"/>
        <w:ind w:left="0"/>
        <w:rPr>
          <w:sz w:val="21"/>
        </w:rPr>
      </w:pPr>
    </w:p>
    <w:p w:rsidR="00BF612A" w:rsidRDefault="003E52AB">
      <w:pPr>
        <w:pStyle w:val="Nadpis4"/>
        <w:spacing w:before="0"/>
      </w:pPr>
      <w:r>
        <w:t>Toxicita opakované dávky</w:t>
      </w:r>
    </w:p>
    <w:p w:rsidR="00BF612A" w:rsidRDefault="00BF612A">
      <w:pPr>
        <w:pStyle w:val="Zkladntext"/>
        <w:spacing w:before="10"/>
        <w:ind w:left="0"/>
        <w:rPr>
          <w:b/>
          <w:sz w:val="23"/>
        </w:rPr>
      </w:pPr>
    </w:p>
    <w:p w:rsidR="00BF612A" w:rsidRDefault="003E52AB">
      <w:pPr>
        <w:pStyle w:val="Zkladntext"/>
        <w:spacing w:before="101" w:after="16"/>
        <w:ind w:left="816"/>
      </w:pPr>
      <w:r>
        <w:t>Uhlovodíky, C11-C14, n-alkany, isoalkany, cyklické, &lt; 2% aromátů</w:t>
      </w:r>
    </w:p>
    <w:tbl>
      <w:tblPr>
        <w:tblStyle w:val="TableNormal"/>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1337"/>
        <w:gridCol w:w="1300"/>
        <w:gridCol w:w="1796"/>
        <w:gridCol w:w="1526"/>
        <w:gridCol w:w="1319"/>
        <w:gridCol w:w="924"/>
      </w:tblGrid>
      <w:tr w:rsidR="00BF612A">
        <w:trPr>
          <w:trHeight w:hRule="exact" w:val="441"/>
        </w:trPr>
        <w:tc>
          <w:tcPr>
            <w:tcW w:w="1380" w:type="dxa"/>
            <w:shd w:val="clear" w:color="auto" w:fill="D2D2D2"/>
          </w:tcPr>
          <w:p w:rsidR="00BF612A" w:rsidRDefault="003E52AB">
            <w:pPr>
              <w:pStyle w:val="TableParagraph"/>
              <w:spacing w:before="116"/>
              <w:ind w:left="56"/>
              <w:rPr>
                <w:rFonts w:ascii="Verdana"/>
                <w:sz w:val="16"/>
              </w:rPr>
            </w:pPr>
            <w:r>
              <w:rPr>
                <w:rFonts w:ascii="Verdana"/>
                <w:sz w:val="16"/>
              </w:rPr>
              <w:t>Cesta expozice</w:t>
            </w:r>
          </w:p>
        </w:tc>
        <w:tc>
          <w:tcPr>
            <w:tcW w:w="1337" w:type="dxa"/>
            <w:shd w:val="clear" w:color="auto" w:fill="D2D2D2"/>
          </w:tcPr>
          <w:p w:rsidR="00BF612A" w:rsidRDefault="003E52AB">
            <w:pPr>
              <w:pStyle w:val="TableParagraph"/>
              <w:spacing w:before="116"/>
              <w:ind w:left="56"/>
              <w:rPr>
                <w:rFonts w:ascii="Verdana"/>
                <w:sz w:val="16"/>
              </w:rPr>
            </w:pPr>
            <w:r>
              <w:rPr>
                <w:rFonts w:ascii="Verdana"/>
                <w:sz w:val="16"/>
              </w:rPr>
              <w:t>Parametr</w:t>
            </w:r>
          </w:p>
        </w:tc>
        <w:tc>
          <w:tcPr>
            <w:tcW w:w="1300" w:type="dxa"/>
            <w:shd w:val="clear" w:color="auto" w:fill="D2D2D2"/>
          </w:tcPr>
          <w:p w:rsidR="00BF612A" w:rsidRDefault="003E52AB">
            <w:pPr>
              <w:pStyle w:val="TableParagraph"/>
              <w:spacing w:before="116"/>
              <w:ind w:left="56"/>
              <w:rPr>
                <w:rFonts w:ascii="Verdana" w:hAnsi="Verdana"/>
                <w:sz w:val="16"/>
              </w:rPr>
            </w:pPr>
            <w:r>
              <w:rPr>
                <w:rFonts w:ascii="Verdana" w:hAnsi="Verdana"/>
                <w:sz w:val="16"/>
              </w:rPr>
              <w:t>Výsledek</w:t>
            </w:r>
          </w:p>
        </w:tc>
        <w:tc>
          <w:tcPr>
            <w:tcW w:w="1796" w:type="dxa"/>
            <w:shd w:val="clear" w:color="auto" w:fill="D2D2D2"/>
          </w:tcPr>
          <w:p w:rsidR="00BF612A" w:rsidRDefault="003E52AB">
            <w:pPr>
              <w:pStyle w:val="TableParagraph"/>
              <w:spacing w:before="116"/>
              <w:ind w:left="56"/>
              <w:rPr>
                <w:rFonts w:ascii="Verdana"/>
                <w:sz w:val="16"/>
              </w:rPr>
            </w:pPr>
            <w:r>
              <w:rPr>
                <w:rFonts w:ascii="Verdana"/>
                <w:sz w:val="16"/>
              </w:rPr>
              <w:t>Hodnota</w:t>
            </w:r>
          </w:p>
        </w:tc>
        <w:tc>
          <w:tcPr>
            <w:tcW w:w="1526" w:type="dxa"/>
            <w:shd w:val="clear" w:color="auto" w:fill="D2D2D2"/>
          </w:tcPr>
          <w:p w:rsidR="00BF612A" w:rsidRDefault="003E52AB">
            <w:pPr>
              <w:pStyle w:val="TableParagraph"/>
              <w:spacing w:before="116"/>
              <w:ind w:left="56"/>
              <w:rPr>
                <w:rFonts w:ascii="Verdana"/>
                <w:sz w:val="16"/>
              </w:rPr>
            </w:pPr>
            <w:r>
              <w:rPr>
                <w:rFonts w:ascii="Verdana"/>
                <w:sz w:val="16"/>
              </w:rPr>
              <w:t>Doba expozice</w:t>
            </w:r>
          </w:p>
        </w:tc>
        <w:tc>
          <w:tcPr>
            <w:tcW w:w="1319" w:type="dxa"/>
            <w:shd w:val="clear" w:color="auto" w:fill="D2D2D2"/>
          </w:tcPr>
          <w:p w:rsidR="00BF612A" w:rsidRDefault="003E52AB">
            <w:pPr>
              <w:pStyle w:val="TableParagraph"/>
              <w:spacing w:before="116"/>
              <w:ind w:left="56"/>
              <w:rPr>
                <w:rFonts w:ascii="Verdana"/>
                <w:sz w:val="16"/>
              </w:rPr>
            </w:pPr>
            <w:r>
              <w:rPr>
                <w:rFonts w:ascii="Verdana"/>
                <w:sz w:val="16"/>
              </w:rPr>
              <w:t>Druh</w:t>
            </w:r>
          </w:p>
        </w:tc>
        <w:tc>
          <w:tcPr>
            <w:tcW w:w="924" w:type="dxa"/>
            <w:shd w:val="clear" w:color="auto" w:fill="D2D2D2"/>
          </w:tcPr>
          <w:p w:rsidR="00BF612A" w:rsidRDefault="003E52AB">
            <w:pPr>
              <w:pStyle w:val="TableParagraph"/>
              <w:spacing w:before="116"/>
              <w:ind w:left="56"/>
              <w:rPr>
                <w:rFonts w:ascii="Verdana" w:hAnsi="Verdana"/>
                <w:sz w:val="16"/>
              </w:rPr>
            </w:pPr>
            <w:r>
              <w:rPr>
                <w:rFonts w:ascii="Verdana" w:hAnsi="Verdana"/>
                <w:sz w:val="16"/>
              </w:rPr>
              <w:t>Pohlaví</w:t>
            </w:r>
          </w:p>
        </w:tc>
      </w:tr>
      <w:tr w:rsidR="00BF612A">
        <w:trPr>
          <w:trHeight w:hRule="exact" w:val="243"/>
        </w:trPr>
        <w:tc>
          <w:tcPr>
            <w:tcW w:w="1380" w:type="dxa"/>
          </w:tcPr>
          <w:p w:rsidR="00BF612A" w:rsidRDefault="00BF612A"/>
        </w:tc>
        <w:tc>
          <w:tcPr>
            <w:tcW w:w="1337" w:type="dxa"/>
          </w:tcPr>
          <w:p w:rsidR="00BF612A" w:rsidRDefault="003E52AB">
            <w:pPr>
              <w:pStyle w:val="TableParagraph"/>
              <w:spacing w:before="1"/>
              <w:ind w:left="56"/>
              <w:rPr>
                <w:rFonts w:ascii="Verdana"/>
                <w:sz w:val="16"/>
              </w:rPr>
            </w:pPr>
            <w:r>
              <w:rPr>
                <w:rFonts w:ascii="Verdana"/>
                <w:sz w:val="16"/>
              </w:rPr>
              <w:t>NOAEL</w:t>
            </w:r>
          </w:p>
        </w:tc>
        <w:tc>
          <w:tcPr>
            <w:tcW w:w="1300" w:type="dxa"/>
          </w:tcPr>
          <w:p w:rsidR="00BF612A" w:rsidRDefault="00BF612A"/>
        </w:tc>
        <w:tc>
          <w:tcPr>
            <w:tcW w:w="1796" w:type="dxa"/>
          </w:tcPr>
          <w:p w:rsidR="00BF612A" w:rsidRDefault="003E52AB">
            <w:pPr>
              <w:pStyle w:val="TableParagraph"/>
              <w:spacing w:before="1"/>
              <w:ind w:left="56"/>
              <w:rPr>
                <w:rFonts w:ascii="Verdana"/>
                <w:sz w:val="16"/>
              </w:rPr>
            </w:pPr>
            <w:r>
              <w:rPr>
                <w:rFonts w:ascii="Verdana"/>
                <w:sz w:val="16"/>
              </w:rPr>
              <w:t>&gt;3000 mg/kg bw</w:t>
            </w:r>
          </w:p>
        </w:tc>
        <w:tc>
          <w:tcPr>
            <w:tcW w:w="1526" w:type="dxa"/>
          </w:tcPr>
          <w:p w:rsidR="00BF612A" w:rsidRDefault="00BF612A"/>
        </w:tc>
        <w:tc>
          <w:tcPr>
            <w:tcW w:w="1319" w:type="dxa"/>
          </w:tcPr>
          <w:p w:rsidR="00BF612A" w:rsidRDefault="003E52AB">
            <w:pPr>
              <w:pStyle w:val="TableParagraph"/>
              <w:spacing w:before="1"/>
              <w:ind w:left="56"/>
              <w:rPr>
                <w:rFonts w:ascii="Verdana"/>
                <w:sz w:val="16"/>
              </w:rPr>
            </w:pPr>
            <w:r>
              <w:rPr>
                <w:rFonts w:ascii="Verdana"/>
                <w:sz w:val="16"/>
              </w:rPr>
              <w:t>Krysa</w:t>
            </w:r>
          </w:p>
        </w:tc>
        <w:tc>
          <w:tcPr>
            <w:tcW w:w="924" w:type="dxa"/>
          </w:tcPr>
          <w:p w:rsidR="00BF612A" w:rsidRDefault="003E52AB">
            <w:pPr>
              <w:pStyle w:val="TableParagraph"/>
              <w:spacing w:before="1"/>
              <w:ind w:left="56"/>
              <w:rPr>
                <w:rFonts w:ascii="Verdana"/>
                <w:sz w:val="16"/>
              </w:rPr>
            </w:pPr>
            <w:r>
              <w:rPr>
                <w:rFonts w:ascii="Verdana"/>
                <w:sz w:val="16"/>
              </w:rPr>
              <w:t>F/M</w:t>
            </w:r>
          </w:p>
        </w:tc>
      </w:tr>
      <w:tr w:rsidR="00BF612A">
        <w:trPr>
          <w:trHeight w:hRule="exact" w:val="243"/>
        </w:trPr>
        <w:tc>
          <w:tcPr>
            <w:tcW w:w="1380" w:type="dxa"/>
          </w:tcPr>
          <w:p w:rsidR="00BF612A" w:rsidRDefault="00BF612A"/>
        </w:tc>
        <w:tc>
          <w:tcPr>
            <w:tcW w:w="1337" w:type="dxa"/>
          </w:tcPr>
          <w:p w:rsidR="00BF612A" w:rsidRDefault="003E52AB">
            <w:pPr>
              <w:pStyle w:val="TableParagraph"/>
              <w:spacing w:before="1"/>
              <w:ind w:left="56"/>
              <w:rPr>
                <w:rFonts w:ascii="Verdana"/>
                <w:sz w:val="16"/>
              </w:rPr>
            </w:pPr>
            <w:r>
              <w:rPr>
                <w:rFonts w:ascii="Verdana"/>
                <w:sz w:val="16"/>
              </w:rPr>
              <w:t>NOAEL</w:t>
            </w:r>
          </w:p>
        </w:tc>
        <w:tc>
          <w:tcPr>
            <w:tcW w:w="1300" w:type="dxa"/>
          </w:tcPr>
          <w:p w:rsidR="00BF612A" w:rsidRDefault="00BF612A"/>
        </w:tc>
        <w:tc>
          <w:tcPr>
            <w:tcW w:w="1796" w:type="dxa"/>
          </w:tcPr>
          <w:p w:rsidR="00BF612A" w:rsidRDefault="003E52AB">
            <w:pPr>
              <w:pStyle w:val="TableParagraph"/>
              <w:spacing w:before="1"/>
              <w:ind w:left="56"/>
              <w:rPr>
                <w:rFonts w:ascii="Verdana"/>
                <w:sz w:val="16"/>
              </w:rPr>
            </w:pPr>
            <w:r>
              <w:rPr>
                <w:rFonts w:ascii="Verdana"/>
                <w:sz w:val="16"/>
              </w:rPr>
              <w:t>&gt;25 mg/kg bw</w:t>
            </w:r>
          </w:p>
        </w:tc>
        <w:tc>
          <w:tcPr>
            <w:tcW w:w="1526" w:type="dxa"/>
          </w:tcPr>
          <w:p w:rsidR="00BF612A" w:rsidRDefault="00BF612A"/>
        </w:tc>
        <w:tc>
          <w:tcPr>
            <w:tcW w:w="1319" w:type="dxa"/>
          </w:tcPr>
          <w:p w:rsidR="00BF612A" w:rsidRDefault="003E52AB">
            <w:pPr>
              <w:pStyle w:val="TableParagraph"/>
              <w:spacing w:before="1"/>
              <w:ind w:left="56"/>
              <w:rPr>
                <w:rFonts w:ascii="Verdana"/>
                <w:sz w:val="16"/>
              </w:rPr>
            </w:pPr>
            <w:r>
              <w:rPr>
                <w:rFonts w:ascii="Verdana"/>
                <w:sz w:val="16"/>
              </w:rPr>
              <w:t>Pes</w:t>
            </w:r>
          </w:p>
        </w:tc>
        <w:tc>
          <w:tcPr>
            <w:tcW w:w="924" w:type="dxa"/>
          </w:tcPr>
          <w:p w:rsidR="00BF612A" w:rsidRDefault="003E52AB">
            <w:pPr>
              <w:pStyle w:val="TableParagraph"/>
              <w:spacing w:before="1"/>
              <w:ind w:left="56"/>
              <w:rPr>
                <w:rFonts w:ascii="Verdana"/>
                <w:sz w:val="16"/>
              </w:rPr>
            </w:pPr>
            <w:r>
              <w:rPr>
                <w:rFonts w:ascii="Verdana"/>
                <w:sz w:val="16"/>
              </w:rPr>
              <w:t>F/M</w:t>
            </w:r>
          </w:p>
        </w:tc>
      </w:tr>
      <w:tr w:rsidR="00BF612A">
        <w:trPr>
          <w:trHeight w:hRule="exact" w:val="243"/>
        </w:trPr>
        <w:tc>
          <w:tcPr>
            <w:tcW w:w="1380" w:type="dxa"/>
          </w:tcPr>
          <w:p w:rsidR="00BF612A" w:rsidRDefault="00BF612A"/>
        </w:tc>
        <w:tc>
          <w:tcPr>
            <w:tcW w:w="1337" w:type="dxa"/>
          </w:tcPr>
          <w:p w:rsidR="00BF612A" w:rsidRDefault="003E52AB">
            <w:pPr>
              <w:pStyle w:val="TableParagraph"/>
              <w:spacing w:before="1"/>
              <w:ind w:left="56"/>
              <w:rPr>
                <w:rFonts w:ascii="Verdana"/>
                <w:sz w:val="16"/>
              </w:rPr>
            </w:pPr>
            <w:r>
              <w:rPr>
                <w:rFonts w:ascii="Verdana"/>
                <w:sz w:val="16"/>
              </w:rPr>
              <w:t>NOAEC</w:t>
            </w:r>
          </w:p>
        </w:tc>
        <w:tc>
          <w:tcPr>
            <w:tcW w:w="1300" w:type="dxa"/>
          </w:tcPr>
          <w:p w:rsidR="00BF612A" w:rsidRDefault="00BF612A"/>
        </w:tc>
        <w:tc>
          <w:tcPr>
            <w:tcW w:w="1796" w:type="dxa"/>
          </w:tcPr>
          <w:p w:rsidR="00BF612A" w:rsidRDefault="003E52AB">
            <w:pPr>
              <w:pStyle w:val="TableParagraph"/>
              <w:spacing w:before="1"/>
              <w:ind w:left="56"/>
              <w:rPr>
                <w:rFonts w:ascii="Verdana" w:hAnsi="Verdana"/>
                <w:sz w:val="16"/>
              </w:rPr>
            </w:pPr>
            <w:r>
              <w:rPr>
                <w:rFonts w:ascii="Verdana" w:hAnsi="Verdana"/>
                <w:sz w:val="16"/>
              </w:rPr>
              <w:t>&gt;10400 mg/m³</w:t>
            </w:r>
          </w:p>
        </w:tc>
        <w:tc>
          <w:tcPr>
            <w:tcW w:w="1526" w:type="dxa"/>
          </w:tcPr>
          <w:p w:rsidR="00BF612A" w:rsidRDefault="00BF612A"/>
        </w:tc>
        <w:tc>
          <w:tcPr>
            <w:tcW w:w="1319" w:type="dxa"/>
          </w:tcPr>
          <w:p w:rsidR="00BF612A" w:rsidRDefault="003E52AB">
            <w:pPr>
              <w:pStyle w:val="TableParagraph"/>
              <w:spacing w:before="1"/>
              <w:ind w:left="56"/>
              <w:rPr>
                <w:rFonts w:ascii="Verdana"/>
                <w:sz w:val="16"/>
              </w:rPr>
            </w:pPr>
            <w:r>
              <w:rPr>
                <w:rFonts w:ascii="Verdana"/>
                <w:sz w:val="16"/>
              </w:rPr>
              <w:t>Krysa</w:t>
            </w:r>
          </w:p>
        </w:tc>
        <w:tc>
          <w:tcPr>
            <w:tcW w:w="924" w:type="dxa"/>
          </w:tcPr>
          <w:p w:rsidR="00BF612A" w:rsidRDefault="003E52AB">
            <w:pPr>
              <w:pStyle w:val="TableParagraph"/>
              <w:spacing w:before="1"/>
              <w:ind w:left="56"/>
              <w:rPr>
                <w:rFonts w:ascii="Verdana"/>
                <w:sz w:val="16"/>
              </w:rPr>
            </w:pPr>
            <w:r>
              <w:rPr>
                <w:rFonts w:ascii="Verdana"/>
                <w:sz w:val="16"/>
              </w:rPr>
              <w:t>F/M</w:t>
            </w:r>
          </w:p>
        </w:tc>
      </w:tr>
    </w:tbl>
    <w:p w:rsidR="00BF612A" w:rsidRDefault="00BF612A">
      <w:pPr>
        <w:pStyle w:val="Zkladntext"/>
        <w:spacing w:before="9"/>
        <w:ind w:left="0"/>
        <w:rPr>
          <w:sz w:val="18"/>
        </w:rPr>
      </w:pPr>
    </w:p>
    <w:p w:rsidR="00BF612A" w:rsidRDefault="003E52AB">
      <w:pPr>
        <w:pStyle w:val="Nadpis4"/>
        <w:spacing w:before="1"/>
      </w:pPr>
      <w:r>
        <w:t>Nebezpečnost při vdechnutí</w:t>
      </w:r>
    </w:p>
    <w:p w:rsidR="00BF612A" w:rsidRDefault="003E52AB">
      <w:pPr>
        <w:pStyle w:val="Zkladntext"/>
        <w:spacing w:before="33"/>
        <w:ind w:right="238"/>
      </w:pPr>
      <w:r>
        <w:pict>
          <v:line id="_x0000_s1064" style="position:absolute;left:0;text-align:left;z-index:251656704;mso-wrap-distance-left:0;mso-wrap-distance-right:0;mso-position-horizontal-relative:page" from="41.4pt,47.65pt" to="553.9pt,47.65pt" strokeweight=".266mm">
            <w10:wrap type="topAndBottom" anchorx="page"/>
          </v:line>
        </w:pict>
      </w:r>
      <w:r>
        <w:t xml:space="preserve">Při požití a vniknutí do dýchacích cest může způsobit </w:t>
      </w:r>
      <w:proofErr w:type="gramStart"/>
      <w:r>
        <w:t>smrt.Vdechování</w:t>
      </w:r>
      <w:proofErr w:type="gramEnd"/>
      <w:r>
        <w:t xml:space="preserve"> výparů nebo aerosolů může způsobit podráždění dýchacích cest a sliznic. Páry vdechnuté v silné koncentraci mají narkotický účinek na centrální nervovou soustavu, mohou vyvolat nevolnost a ztráta vědomí. Při vysokých koncentracích může dojít k asfyxii (dušení z nedostatku kyslíku</w:t>
      </w:r>
      <w:proofErr w:type="gramStart"/>
      <w:r>
        <w:t>) ;</w:t>
      </w:r>
      <w:proofErr w:type="gramEnd"/>
      <w:r>
        <w:t xml:space="preserve"> postižený si neuvědomuje že se dusí.</w:t>
      </w:r>
    </w:p>
    <w:p w:rsidR="00BF612A" w:rsidRDefault="00BF612A">
      <w:pPr>
        <w:pStyle w:val="Zkladntext"/>
        <w:spacing w:before="7"/>
        <w:ind w:left="0"/>
        <w:rPr>
          <w:sz w:val="7"/>
        </w:rPr>
      </w:pPr>
    </w:p>
    <w:p w:rsidR="00BF612A" w:rsidRDefault="003E52AB">
      <w:pPr>
        <w:pStyle w:val="Nadpis4"/>
        <w:ind w:left="136"/>
      </w:pPr>
      <w:bookmarkStart w:id="11" w:name="12._Ekologické_informace"/>
      <w:bookmarkEnd w:id="11"/>
      <w:r>
        <w:t>ODDÍL 12: Ekologické informace</w:t>
      </w:r>
    </w:p>
    <w:p w:rsidR="00BF612A" w:rsidRDefault="003E52AB">
      <w:pPr>
        <w:pStyle w:val="Odstavecseseznamem"/>
        <w:numPr>
          <w:ilvl w:val="1"/>
          <w:numId w:val="3"/>
        </w:numPr>
        <w:tabs>
          <w:tab w:val="left" w:pos="787"/>
          <w:tab w:val="left" w:pos="788"/>
        </w:tabs>
        <w:spacing w:before="33"/>
        <w:ind w:hanging="651"/>
        <w:rPr>
          <w:b/>
          <w:sz w:val="16"/>
        </w:rPr>
      </w:pPr>
      <w:r>
        <w:rPr>
          <w:b/>
          <w:sz w:val="16"/>
        </w:rPr>
        <w:t>Toxicita</w:t>
      </w:r>
    </w:p>
    <w:p w:rsidR="00BF612A" w:rsidRDefault="00BF612A">
      <w:pPr>
        <w:pStyle w:val="Zkladntext"/>
        <w:spacing w:before="10"/>
        <w:ind w:left="0"/>
        <w:rPr>
          <w:b/>
          <w:sz w:val="11"/>
        </w:rPr>
      </w:pPr>
    </w:p>
    <w:p w:rsidR="00BF612A" w:rsidRDefault="003E52AB">
      <w:pPr>
        <w:spacing w:before="101"/>
        <w:ind w:left="787"/>
        <w:rPr>
          <w:b/>
          <w:sz w:val="16"/>
        </w:rPr>
      </w:pPr>
      <w:r>
        <w:rPr>
          <w:b/>
          <w:sz w:val="16"/>
        </w:rPr>
        <w:t>Akutní toxicita</w:t>
      </w:r>
    </w:p>
    <w:p w:rsidR="00BF612A" w:rsidRDefault="003E52AB">
      <w:pPr>
        <w:pStyle w:val="Zkladntext"/>
        <w:spacing w:before="33" w:line="441" w:lineRule="auto"/>
        <w:ind w:left="816" w:right="2494" w:hanging="29"/>
      </w:pPr>
      <w:r>
        <w:pict>
          <v:shapetype id="_x0000_t202" coordsize="21600,21600" o:spt="202" path="m,l,21600r21600,l21600,xe">
            <v:stroke joinstyle="miter"/>
            <v:path gradientshapeok="t" o:connecttype="rect"/>
          </v:shapetype>
          <v:shape id="_x0000_s1063" type="#_x0000_t202" style="position:absolute;left:0;text-align:left;margin-left:73.95pt;margin-top:30.1pt;width:480.3pt;height:108.25pt;z-index:251657728;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15"/>
                    <w:gridCol w:w="1578"/>
                    <w:gridCol w:w="1577"/>
                    <w:gridCol w:w="1577"/>
                    <w:gridCol w:w="1624"/>
                    <w:gridCol w:w="992"/>
                    <w:gridCol w:w="920"/>
                  </w:tblGrid>
                  <w:tr w:rsidR="003E52AB">
                    <w:trPr>
                      <w:trHeight w:hRule="exact" w:val="441"/>
                    </w:trPr>
                    <w:tc>
                      <w:tcPr>
                        <w:tcW w:w="1315" w:type="dxa"/>
                        <w:shd w:val="clear" w:color="auto" w:fill="D2D2D2"/>
                      </w:tcPr>
                      <w:p w:rsidR="003E52AB" w:rsidRDefault="003E52AB">
                        <w:pPr>
                          <w:pStyle w:val="TableParagraph"/>
                          <w:spacing w:before="116"/>
                          <w:ind w:left="56"/>
                          <w:rPr>
                            <w:rFonts w:ascii="Verdana"/>
                            <w:sz w:val="16"/>
                          </w:rPr>
                        </w:pPr>
                        <w:r>
                          <w:rPr>
                            <w:rFonts w:ascii="Verdana"/>
                            <w:sz w:val="16"/>
                          </w:rPr>
                          <w:t>Parametr</w:t>
                        </w:r>
                      </w:p>
                    </w:tc>
                    <w:tc>
                      <w:tcPr>
                        <w:tcW w:w="1578" w:type="dxa"/>
                        <w:shd w:val="clear" w:color="auto" w:fill="D2D2D2"/>
                      </w:tcPr>
                      <w:p w:rsidR="003E52AB" w:rsidRDefault="003E52AB">
                        <w:pPr>
                          <w:pStyle w:val="TableParagraph"/>
                          <w:spacing w:before="116"/>
                          <w:ind w:left="56"/>
                          <w:rPr>
                            <w:rFonts w:ascii="Verdana"/>
                            <w:sz w:val="16"/>
                          </w:rPr>
                        </w:pPr>
                        <w:r>
                          <w:rPr>
                            <w:rFonts w:ascii="Verdana"/>
                            <w:sz w:val="16"/>
                          </w:rPr>
                          <w:t>Metoda</w:t>
                        </w:r>
                      </w:p>
                    </w:tc>
                    <w:tc>
                      <w:tcPr>
                        <w:tcW w:w="1577" w:type="dxa"/>
                        <w:shd w:val="clear" w:color="auto" w:fill="D2D2D2"/>
                      </w:tcPr>
                      <w:p w:rsidR="003E52AB" w:rsidRDefault="003E52AB">
                        <w:pPr>
                          <w:pStyle w:val="TableParagraph"/>
                          <w:spacing w:before="116"/>
                          <w:ind w:left="56"/>
                          <w:rPr>
                            <w:rFonts w:ascii="Verdana"/>
                            <w:sz w:val="16"/>
                          </w:rPr>
                        </w:pPr>
                        <w:r>
                          <w:rPr>
                            <w:rFonts w:ascii="Verdana"/>
                            <w:sz w:val="16"/>
                          </w:rPr>
                          <w:t>Hodnota</w:t>
                        </w:r>
                      </w:p>
                    </w:tc>
                    <w:tc>
                      <w:tcPr>
                        <w:tcW w:w="1577" w:type="dxa"/>
                        <w:shd w:val="clear" w:color="auto" w:fill="D2D2D2"/>
                      </w:tcPr>
                      <w:p w:rsidR="003E52AB" w:rsidRDefault="003E52AB">
                        <w:pPr>
                          <w:pStyle w:val="TableParagraph"/>
                          <w:spacing w:before="116"/>
                          <w:ind w:left="56"/>
                          <w:rPr>
                            <w:rFonts w:ascii="Verdana"/>
                            <w:sz w:val="16"/>
                          </w:rPr>
                        </w:pPr>
                        <w:r>
                          <w:rPr>
                            <w:rFonts w:ascii="Verdana"/>
                            <w:sz w:val="16"/>
                          </w:rPr>
                          <w:t>Doba expozice</w:t>
                        </w:r>
                      </w:p>
                    </w:tc>
                    <w:tc>
                      <w:tcPr>
                        <w:tcW w:w="1624" w:type="dxa"/>
                        <w:shd w:val="clear" w:color="auto" w:fill="D2D2D2"/>
                      </w:tcPr>
                      <w:p w:rsidR="003E52AB" w:rsidRDefault="003E52AB">
                        <w:pPr>
                          <w:pStyle w:val="TableParagraph"/>
                          <w:spacing w:before="116"/>
                          <w:ind w:left="56"/>
                          <w:rPr>
                            <w:rFonts w:ascii="Verdana"/>
                            <w:sz w:val="16"/>
                          </w:rPr>
                        </w:pPr>
                        <w:r>
                          <w:rPr>
                            <w:rFonts w:ascii="Verdana"/>
                            <w:sz w:val="16"/>
                          </w:rPr>
                          <w:t>Druh</w:t>
                        </w:r>
                      </w:p>
                    </w:tc>
                    <w:tc>
                      <w:tcPr>
                        <w:tcW w:w="992" w:type="dxa"/>
                        <w:shd w:val="clear" w:color="auto" w:fill="D2D2D2"/>
                      </w:tcPr>
                      <w:p w:rsidR="003E52AB" w:rsidRDefault="003E52AB">
                        <w:pPr>
                          <w:pStyle w:val="TableParagraph"/>
                          <w:spacing w:before="116"/>
                          <w:ind w:left="56"/>
                          <w:rPr>
                            <w:rFonts w:ascii="Verdana" w:hAnsi="Verdana"/>
                            <w:sz w:val="16"/>
                          </w:rPr>
                        </w:pPr>
                        <w:r>
                          <w:rPr>
                            <w:rFonts w:ascii="Verdana" w:hAnsi="Verdana"/>
                            <w:sz w:val="16"/>
                          </w:rPr>
                          <w:t>Prostředí</w:t>
                        </w:r>
                      </w:p>
                    </w:tc>
                    <w:tc>
                      <w:tcPr>
                        <w:tcW w:w="920" w:type="dxa"/>
                        <w:shd w:val="clear" w:color="auto" w:fill="D2D2D2"/>
                      </w:tcPr>
                      <w:p w:rsidR="003E52AB" w:rsidRDefault="003E52AB">
                        <w:pPr>
                          <w:pStyle w:val="TableParagraph"/>
                          <w:spacing w:before="116"/>
                          <w:ind w:left="56"/>
                          <w:rPr>
                            <w:rFonts w:ascii="Verdana"/>
                            <w:sz w:val="16"/>
                          </w:rPr>
                        </w:pPr>
                        <w:r>
                          <w:rPr>
                            <w:rFonts w:ascii="Verdana"/>
                            <w:sz w:val="16"/>
                          </w:rPr>
                          <w:t>Zdroj</w:t>
                        </w:r>
                      </w:p>
                    </w:tc>
                  </w:tr>
                  <w:tr w:rsidR="003E52AB">
                    <w:trPr>
                      <w:trHeight w:hRule="exact" w:val="636"/>
                    </w:trPr>
                    <w:tc>
                      <w:tcPr>
                        <w:tcW w:w="1315" w:type="dxa"/>
                      </w:tcPr>
                      <w:p w:rsidR="003E52AB" w:rsidRDefault="003E52AB">
                        <w:pPr>
                          <w:pStyle w:val="TableParagraph"/>
                          <w:spacing w:before="1"/>
                          <w:ind w:left="56"/>
                          <w:rPr>
                            <w:rFonts w:ascii="Verdana"/>
                            <w:sz w:val="16"/>
                          </w:rPr>
                        </w:pPr>
                        <w:r>
                          <w:rPr>
                            <w:rFonts w:ascii="Verdana"/>
                            <w:sz w:val="16"/>
                          </w:rPr>
                          <w:t>EC50</w:t>
                        </w:r>
                      </w:p>
                    </w:tc>
                    <w:tc>
                      <w:tcPr>
                        <w:tcW w:w="1578" w:type="dxa"/>
                      </w:tcPr>
                      <w:p w:rsidR="003E52AB" w:rsidRDefault="003E52AB">
                        <w:pPr>
                          <w:pStyle w:val="TableParagraph"/>
                          <w:spacing w:before="1"/>
                          <w:ind w:left="56"/>
                          <w:rPr>
                            <w:rFonts w:ascii="Verdana"/>
                            <w:sz w:val="16"/>
                          </w:rPr>
                        </w:pPr>
                        <w:r>
                          <w:rPr>
                            <w:rFonts w:ascii="Verdana"/>
                            <w:sz w:val="16"/>
                          </w:rPr>
                          <w:t>OECD 201</w:t>
                        </w:r>
                      </w:p>
                    </w:tc>
                    <w:tc>
                      <w:tcPr>
                        <w:tcW w:w="1577" w:type="dxa"/>
                      </w:tcPr>
                      <w:p w:rsidR="003E52AB" w:rsidRDefault="003E52AB">
                        <w:pPr>
                          <w:pStyle w:val="TableParagraph"/>
                          <w:spacing w:before="1"/>
                          <w:ind w:left="56"/>
                          <w:rPr>
                            <w:rFonts w:ascii="Verdana"/>
                            <w:sz w:val="16"/>
                          </w:rPr>
                        </w:pPr>
                        <w:r>
                          <w:rPr>
                            <w:rFonts w:ascii="Verdana"/>
                            <w:sz w:val="16"/>
                          </w:rPr>
                          <w:t>&gt;1000 mg/l</w:t>
                        </w:r>
                      </w:p>
                    </w:tc>
                    <w:tc>
                      <w:tcPr>
                        <w:tcW w:w="1577" w:type="dxa"/>
                      </w:tcPr>
                      <w:p w:rsidR="003E52AB" w:rsidRDefault="003E52AB">
                        <w:pPr>
                          <w:pStyle w:val="TableParagraph"/>
                          <w:spacing w:before="1"/>
                          <w:ind w:left="56"/>
                          <w:rPr>
                            <w:rFonts w:ascii="Verdana"/>
                            <w:sz w:val="16"/>
                          </w:rPr>
                        </w:pPr>
                        <w:r>
                          <w:rPr>
                            <w:rFonts w:ascii="Verdana"/>
                            <w:sz w:val="16"/>
                          </w:rPr>
                          <w:t>72 hod</w:t>
                        </w:r>
                      </w:p>
                    </w:tc>
                    <w:tc>
                      <w:tcPr>
                        <w:tcW w:w="1624" w:type="dxa"/>
                      </w:tcPr>
                      <w:p w:rsidR="003E52AB" w:rsidRDefault="003E52AB">
                        <w:pPr>
                          <w:pStyle w:val="TableParagraph"/>
                          <w:spacing w:before="1"/>
                          <w:ind w:left="56" w:right="3"/>
                          <w:rPr>
                            <w:rFonts w:ascii="Verdana" w:hAnsi="Verdana"/>
                            <w:sz w:val="16"/>
                          </w:rPr>
                        </w:pPr>
                        <w:r>
                          <w:rPr>
                            <w:rFonts w:ascii="Verdana" w:hAnsi="Verdana"/>
                            <w:sz w:val="16"/>
                          </w:rPr>
                          <w:t>Řasy (Pseudokirchneriell a subcapitata)</w:t>
                        </w:r>
                      </w:p>
                    </w:tc>
                    <w:tc>
                      <w:tcPr>
                        <w:tcW w:w="992" w:type="dxa"/>
                      </w:tcPr>
                      <w:p w:rsidR="003E52AB" w:rsidRDefault="003E52AB"/>
                    </w:tc>
                    <w:tc>
                      <w:tcPr>
                        <w:tcW w:w="920" w:type="dxa"/>
                      </w:tcPr>
                      <w:p w:rsidR="003E52AB" w:rsidRDefault="003E52AB">
                        <w:pPr>
                          <w:pStyle w:val="TableParagraph"/>
                          <w:spacing w:before="1"/>
                          <w:ind w:left="56"/>
                          <w:rPr>
                            <w:rFonts w:ascii="Verdana"/>
                            <w:sz w:val="16"/>
                          </w:rPr>
                        </w:pPr>
                        <w:r>
                          <w:rPr>
                            <w:rFonts w:ascii="Verdana"/>
                            <w:sz w:val="16"/>
                          </w:rPr>
                          <w:t>SDS</w:t>
                        </w:r>
                      </w:p>
                      <w:p w:rsidR="003E52AB" w:rsidRDefault="003E52AB">
                        <w:pPr>
                          <w:pStyle w:val="TableParagraph"/>
                          <w:spacing w:before="1"/>
                          <w:ind w:left="56"/>
                          <w:rPr>
                            <w:rFonts w:ascii="Verdana"/>
                            <w:sz w:val="16"/>
                          </w:rPr>
                        </w:pPr>
                        <w:r>
                          <w:rPr>
                            <w:rFonts w:ascii="Verdana"/>
                            <w:sz w:val="16"/>
                          </w:rPr>
                          <w:t>Supplier</w:t>
                        </w:r>
                      </w:p>
                    </w:tc>
                  </w:tr>
                  <w:tr w:rsidR="003E52AB">
                    <w:trPr>
                      <w:trHeight w:hRule="exact" w:val="437"/>
                    </w:trPr>
                    <w:tc>
                      <w:tcPr>
                        <w:tcW w:w="1315" w:type="dxa"/>
                      </w:tcPr>
                      <w:p w:rsidR="003E52AB" w:rsidRDefault="003E52AB">
                        <w:pPr>
                          <w:pStyle w:val="TableParagraph"/>
                          <w:spacing w:before="1"/>
                          <w:ind w:left="56"/>
                          <w:rPr>
                            <w:rFonts w:ascii="Verdana"/>
                            <w:sz w:val="16"/>
                          </w:rPr>
                        </w:pPr>
                        <w:r>
                          <w:rPr>
                            <w:rFonts w:ascii="Verdana"/>
                            <w:sz w:val="16"/>
                          </w:rPr>
                          <w:t>EC50</w:t>
                        </w:r>
                      </w:p>
                    </w:tc>
                    <w:tc>
                      <w:tcPr>
                        <w:tcW w:w="1578" w:type="dxa"/>
                      </w:tcPr>
                      <w:p w:rsidR="003E52AB" w:rsidRDefault="003E52AB">
                        <w:pPr>
                          <w:pStyle w:val="TableParagraph"/>
                          <w:spacing w:before="1"/>
                          <w:ind w:left="56"/>
                          <w:rPr>
                            <w:rFonts w:ascii="Verdana"/>
                            <w:sz w:val="16"/>
                          </w:rPr>
                        </w:pPr>
                        <w:r>
                          <w:rPr>
                            <w:rFonts w:ascii="Verdana"/>
                            <w:sz w:val="16"/>
                          </w:rPr>
                          <w:t>OECD 202</w:t>
                        </w:r>
                      </w:p>
                    </w:tc>
                    <w:tc>
                      <w:tcPr>
                        <w:tcW w:w="1577" w:type="dxa"/>
                      </w:tcPr>
                      <w:p w:rsidR="003E52AB" w:rsidRDefault="003E52AB">
                        <w:pPr>
                          <w:pStyle w:val="TableParagraph"/>
                          <w:spacing w:before="1"/>
                          <w:ind w:left="56"/>
                          <w:rPr>
                            <w:rFonts w:ascii="Verdana"/>
                            <w:sz w:val="16"/>
                          </w:rPr>
                        </w:pPr>
                        <w:r>
                          <w:rPr>
                            <w:rFonts w:ascii="Verdana"/>
                            <w:sz w:val="16"/>
                          </w:rPr>
                          <w:t>&gt;1000 mg/l</w:t>
                        </w:r>
                      </w:p>
                    </w:tc>
                    <w:tc>
                      <w:tcPr>
                        <w:tcW w:w="1577" w:type="dxa"/>
                      </w:tcPr>
                      <w:p w:rsidR="003E52AB" w:rsidRDefault="003E52AB">
                        <w:pPr>
                          <w:pStyle w:val="TableParagraph"/>
                          <w:spacing w:before="1"/>
                          <w:ind w:left="56"/>
                          <w:rPr>
                            <w:rFonts w:ascii="Verdana"/>
                            <w:sz w:val="16"/>
                          </w:rPr>
                        </w:pPr>
                        <w:r>
                          <w:rPr>
                            <w:rFonts w:ascii="Verdana"/>
                            <w:sz w:val="16"/>
                          </w:rPr>
                          <w:t>48 hod</w:t>
                        </w:r>
                      </w:p>
                    </w:tc>
                    <w:tc>
                      <w:tcPr>
                        <w:tcW w:w="1624" w:type="dxa"/>
                      </w:tcPr>
                      <w:p w:rsidR="003E52AB" w:rsidRDefault="003E52AB">
                        <w:pPr>
                          <w:pStyle w:val="TableParagraph"/>
                          <w:spacing w:before="1"/>
                          <w:ind w:left="56" w:right="226"/>
                          <w:rPr>
                            <w:rFonts w:ascii="Verdana"/>
                            <w:sz w:val="16"/>
                          </w:rPr>
                        </w:pPr>
                        <w:r>
                          <w:rPr>
                            <w:rFonts w:ascii="Verdana"/>
                            <w:sz w:val="16"/>
                          </w:rPr>
                          <w:t>Dafnie (Daphnia magna)</w:t>
                        </w:r>
                      </w:p>
                    </w:tc>
                    <w:tc>
                      <w:tcPr>
                        <w:tcW w:w="992" w:type="dxa"/>
                      </w:tcPr>
                      <w:p w:rsidR="003E52AB" w:rsidRDefault="003E52AB"/>
                    </w:tc>
                    <w:tc>
                      <w:tcPr>
                        <w:tcW w:w="920" w:type="dxa"/>
                      </w:tcPr>
                      <w:p w:rsidR="003E52AB" w:rsidRDefault="003E52AB">
                        <w:pPr>
                          <w:pStyle w:val="TableParagraph"/>
                          <w:spacing w:before="1"/>
                          <w:ind w:left="56"/>
                          <w:rPr>
                            <w:rFonts w:ascii="Verdana"/>
                            <w:sz w:val="16"/>
                          </w:rPr>
                        </w:pPr>
                        <w:r>
                          <w:rPr>
                            <w:rFonts w:ascii="Verdana"/>
                            <w:sz w:val="16"/>
                          </w:rPr>
                          <w:t>SDS</w:t>
                        </w:r>
                      </w:p>
                      <w:p w:rsidR="003E52AB" w:rsidRDefault="003E52AB">
                        <w:pPr>
                          <w:pStyle w:val="TableParagraph"/>
                          <w:spacing w:before="1"/>
                          <w:ind w:left="56"/>
                          <w:rPr>
                            <w:rFonts w:ascii="Verdana"/>
                            <w:sz w:val="16"/>
                          </w:rPr>
                        </w:pPr>
                        <w:r>
                          <w:rPr>
                            <w:rFonts w:ascii="Verdana"/>
                            <w:sz w:val="16"/>
                          </w:rPr>
                          <w:t>Supplier</w:t>
                        </w:r>
                      </w:p>
                    </w:tc>
                  </w:tr>
                  <w:tr w:rsidR="003E52AB">
                    <w:trPr>
                      <w:trHeight w:hRule="exact" w:val="636"/>
                    </w:trPr>
                    <w:tc>
                      <w:tcPr>
                        <w:tcW w:w="1315" w:type="dxa"/>
                      </w:tcPr>
                      <w:p w:rsidR="003E52AB" w:rsidRDefault="003E52AB">
                        <w:pPr>
                          <w:pStyle w:val="TableParagraph"/>
                          <w:spacing w:before="1"/>
                          <w:ind w:left="56"/>
                          <w:rPr>
                            <w:rFonts w:ascii="Verdana"/>
                            <w:sz w:val="16"/>
                          </w:rPr>
                        </w:pPr>
                        <w:r>
                          <w:rPr>
                            <w:rFonts w:ascii="Verdana"/>
                            <w:sz w:val="16"/>
                          </w:rPr>
                          <w:t>LC50</w:t>
                        </w:r>
                      </w:p>
                    </w:tc>
                    <w:tc>
                      <w:tcPr>
                        <w:tcW w:w="1578" w:type="dxa"/>
                      </w:tcPr>
                      <w:p w:rsidR="003E52AB" w:rsidRDefault="003E52AB">
                        <w:pPr>
                          <w:pStyle w:val="TableParagraph"/>
                          <w:spacing w:before="1"/>
                          <w:ind w:left="56"/>
                          <w:rPr>
                            <w:rFonts w:ascii="Verdana"/>
                            <w:sz w:val="16"/>
                          </w:rPr>
                        </w:pPr>
                        <w:r>
                          <w:rPr>
                            <w:rFonts w:ascii="Verdana"/>
                            <w:sz w:val="16"/>
                          </w:rPr>
                          <w:t>OECD 203</w:t>
                        </w:r>
                      </w:p>
                    </w:tc>
                    <w:tc>
                      <w:tcPr>
                        <w:tcW w:w="1577" w:type="dxa"/>
                      </w:tcPr>
                      <w:p w:rsidR="003E52AB" w:rsidRDefault="003E52AB">
                        <w:pPr>
                          <w:pStyle w:val="TableParagraph"/>
                          <w:spacing w:before="1"/>
                          <w:ind w:left="56"/>
                          <w:rPr>
                            <w:rFonts w:ascii="Verdana"/>
                            <w:sz w:val="16"/>
                          </w:rPr>
                        </w:pPr>
                        <w:r>
                          <w:rPr>
                            <w:rFonts w:ascii="Verdana"/>
                            <w:sz w:val="16"/>
                          </w:rPr>
                          <w:t>&gt;1000 mg/l</w:t>
                        </w:r>
                      </w:p>
                    </w:tc>
                    <w:tc>
                      <w:tcPr>
                        <w:tcW w:w="1577" w:type="dxa"/>
                      </w:tcPr>
                      <w:p w:rsidR="003E52AB" w:rsidRDefault="003E52AB">
                        <w:pPr>
                          <w:pStyle w:val="TableParagraph"/>
                          <w:spacing w:before="1"/>
                          <w:ind w:left="56"/>
                          <w:rPr>
                            <w:rFonts w:ascii="Verdana"/>
                            <w:sz w:val="16"/>
                          </w:rPr>
                        </w:pPr>
                        <w:r>
                          <w:rPr>
                            <w:rFonts w:ascii="Verdana"/>
                            <w:sz w:val="16"/>
                          </w:rPr>
                          <w:t>96 hod</w:t>
                        </w:r>
                      </w:p>
                    </w:tc>
                    <w:tc>
                      <w:tcPr>
                        <w:tcW w:w="1624" w:type="dxa"/>
                      </w:tcPr>
                      <w:p w:rsidR="003E52AB" w:rsidRDefault="003E52AB">
                        <w:pPr>
                          <w:pStyle w:val="TableParagraph"/>
                          <w:spacing w:before="1"/>
                          <w:ind w:left="56" w:right="318"/>
                          <w:rPr>
                            <w:rFonts w:ascii="Verdana"/>
                            <w:sz w:val="16"/>
                          </w:rPr>
                        </w:pPr>
                        <w:r>
                          <w:rPr>
                            <w:rFonts w:ascii="Verdana"/>
                            <w:sz w:val="16"/>
                          </w:rPr>
                          <w:t>Ryby (Oncorhynchus mykiss)</w:t>
                        </w:r>
                      </w:p>
                    </w:tc>
                    <w:tc>
                      <w:tcPr>
                        <w:tcW w:w="992" w:type="dxa"/>
                      </w:tcPr>
                      <w:p w:rsidR="003E52AB" w:rsidRDefault="003E52AB"/>
                    </w:tc>
                    <w:tc>
                      <w:tcPr>
                        <w:tcW w:w="920" w:type="dxa"/>
                      </w:tcPr>
                      <w:p w:rsidR="003E52AB" w:rsidRDefault="003E52AB">
                        <w:pPr>
                          <w:pStyle w:val="TableParagraph"/>
                          <w:spacing w:before="1"/>
                          <w:ind w:left="56"/>
                          <w:rPr>
                            <w:rFonts w:ascii="Verdana"/>
                            <w:sz w:val="16"/>
                          </w:rPr>
                        </w:pPr>
                        <w:r>
                          <w:rPr>
                            <w:rFonts w:ascii="Verdana"/>
                            <w:sz w:val="16"/>
                          </w:rPr>
                          <w:t>SDS</w:t>
                        </w:r>
                      </w:p>
                      <w:p w:rsidR="003E52AB" w:rsidRDefault="003E52AB">
                        <w:pPr>
                          <w:pStyle w:val="TableParagraph"/>
                          <w:spacing w:before="1"/>
                          <w:ind w:left="56"/>
                          <w:rPr>
                            <w:rFonts w:ascii="Verdana"/>
                            <w:sz w:val="16"/>
                          </w:rPr>
                        </w:pPr>
                        <w:r>
                          <w:rPr>
                            <w:rFonts w:ascii="Verdana"/>
                            <w:sz w:val="16"/>
                          </w:rPr>
                          <w:t>Supplier</w:t>
                        </w:r>
                      </w:p>
                    </w:tc>
                  </w:tr>
                </w:tbl>
                <w:p w:rsidR="003E52AB" w:rsidRDefault="003E52AB">
                  <w:pPr>
                    <w:pStyle w:val="Zkladntext"/>
                    <w:ind w:left="0"/>
                  </w:pPr>
                </w:p>
              </w:txbxContent>
            </v:textbox>
            <w10:wrap anchorx="page"/>
          </v:shape>
        </w:pict>
      </w:r>
      <w:r>
        <w:t>Výrobek neobsahuje látky působící proti aktivnímu působení mikroorganismů. Uhlovodíky, C11-C14, n-alkany, isoalkany, cyklické, &lt; 2% aromátů</w:t>
      </w:r>
    </w:p>
    <w:p w:rsidR="00BF612A" w:rsidRDefault="00BF612A">
      <w:pPr>
        <w:spacing w:line="441" w:lineRule="auto"/>
        <w:sectPr w:rsidR="00BF612A" w:rsidSect="003E52AB">
          <w:pgSz w:w="11900" w:h="16840"/>
          <w:pgMar w:top="860" w:right="700" w:bottom="1520" w:left="720" w:header="850" w:footer="397" w:gutter="0"/>
          <w:cols w:space="708"/>
          <w:docGrid w:linePitch="299"/>
        </w:sectPr>
      </w:pPr>
    </w:p>
    <w:p w:rsidR="00BF612A" w:rsidRDefault="003E52AB">
      <w:pPr>
        <w:pStyle w:val="Nadpis4"/>
      </w:pPr>
      <w:r>
        <w:lastRenderedPageBreak/>
        <w:t>Chronická toxicita</w:t>
      </w:r>
    </w:p>
    <w:p w:rsidR="00BF612A" w:rsidRDefault="00BF612A">
      <w:pPr>
        <w:pStyle w:val="Zkladntext"/>
        <w:spacing w:before="11"/>
        <w:ind w:left="0"/>
        <w:rPr>
          <w:b/>
          <w:sz w:val="23"/>
        </w:rPr>
      </w:pPr>
    </w:p>
    <w:p w:rsidR="00BF612A" w:rsidRDefault="003E52AB">
      <w:pPr>
        <w:pStyle w:val="Zkladntext"/>
        <w:spacing w:before="100" w:after="16"/>
        <w:ind w:left="816"/>
      </w:pPr>
      <w:r>
        <w:t>Uhlovodíky, C11-C14, n-alkany, isoalkany, cyklické, &lt; 2% aromátů</w:t>
      </w:r>
    </w:p>
    <w:tbl>
      <w:tblPr>
        <w:tblStyle w:val="TableNormal"/>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81"/>
        <w:gridCol w:w="2137"/>
        <w:gridCol w:w="2137"/>
        <w:gridCol w:w="2200"/>
        <w:gridCol w:w="1329"/>
      </w:tblGrid>
      <w:tr w:rsidR="00BF612A">
        <w:trPr>
          <w:trHeight w:hRule="exact" w:val="441"/>
        </w:trPr>
        <w:tc>
          <w:tcPr>
            <w:tcW w:w="1781" w:type="dxa"/>
            <w:shd w:val="clear" w:color="auto" w:fill="D2D2D2"/>
          </w:tcPr>
          <w:p w:rsidR="00BF612A" w:rsidRDefault="003E52AB">
            <w:pPr>
              <w:pStyle w:val="TableParagraph"/>
              <w:spacing w:before="116"/>
              <w:ind w:left="56"/>
              <w:rPr>
                <w:rFonts w:ascii="Verdana"/>
                <w:sz w:val="16"/>
              </w:rPr>
            </w:pPr>
            <w:r>
              <w:rPr>
                <w:rFonts w:ascii="Verdana"/>
                <w:sz w:val="16"/>
              </w:rPr>
              <w:t>Parametr</w:t>
            </w:r>
          </w:p>
        </w:tc>
        <w:tc>
          <w:tcPr>
            <w:tcW w:w="2137" w:type="dxa"/>
            <w:shd w:val="clear" w:color="auto" w:fill="D2D2D2"/>
          </w:tcPr>
          <w:p w:rsidR="00BF612A" w:rsidRDefault="003E52AB">
            <w:pPr>
              <w:pStyle w:val="TableParagraph"/>
              <w:spacing w:before="116"/>
              <w:ind w:left="56"/>
              <w:rPr>
                <w:rFonts w:ascii="Verdana"/>
                <w:sz w:val="16"/>
              </w:rPr>
            </w:pPr>
            <w:r>
              <w:rPr>
                <w:rFonts w:ascii="Verdana"/>
                <w:sz w:val="16"/>
              </w:rPr>
              <w:t>Hodnota</w:t>
            </w:r>
          </w:p>
        </w:tc>
        <w:tc>
          <w:tcPr>
            <w:tcW w:w="2137" w:type="dxa"/>
            <w:shd w:val="clear" w:color="auto" w:fill="D2D2D2"/>
          </w:tcPr>
          <w:p w:rsidR="00BF612A" w:rsidRDefault="003E52AB">
            <w:pPr>
              <w:pStyle w:val="TableParagraph"/>
              <w:spacing w:before="116"/>
              <w:ind w:left="56"/>
              <w:rPr>
                <w:rFonts w:ascii="Verdana"/>
                <w:sz w:val="16"/>
              </w:rPr>
            </w:pPr>
            <w:r>
              <w:rPr>
                <w:rFonts w:ascii="Verdana"/>
                <w:sz w:val="16"/>
              </w:rPr>
              <w:t>Doba expozice</w:t>
            </w:r>
          </w:p>
        </w:tc>
        <w:tc>
          <w:tcPr>
            <w:tcW w:w="2200" w:type="dxa"/>
            <w:shd w:val="clear" w:color="auto" w:fill="D2D2D2"/>
          </w:tcPr>
          <w:p w:rsidR="00BF612A" w:rsidRDefault="003E52AB">
            <w:pPr>
              <w:pStyle w:val="TableParagraph"/>
              <w:spacing w:before="116"/>
              <w:ind w:left="56"/>
              <w:rPr>
                <w:rFonts w:ascii="Verdana"/>
                <w:sz w:val="16"/>
              </w:rPr>
            </w:pPr>
            <w:r>
              <w:rPr>
                <w:rFonts w:ascii="Verdana"/>
                <w:sz w:val="16"/>
              </w:rPr>
              <w:t>Druh</w:t>
            </w:r>
          </w:p>
        </w:tc>
        <w:tc>
          <w:tcPr>
            <w:tcW w:w="1329" w:type="dxa"/>
            <w:shd w:val="clear" w:color="auto" w:fill="D2D2D2"/>
          </w:tcPr>
          <w:p w:rsidR="00BF612A" w:rsidRDefault="003E52AB">
            <w:pPr>
              <w:pStyle w:val="TableParagraph"/>
              <w:spacing w:before="116"/>
              <w:ind w:left="56"/>
              <w:rPr>
                <w:rFonts w:ascii="Verdana" w:hAnsi="Verdana"/>
                <w:sz w:val="16"/>
              </w:rPr>
            </w:pPr>
            <w:r>
              <w:rPr>
                <w:rFonts w:ascii="Verdana" w:hAnsi="Verdana"/>
                <w:sz w:val="16"/>
              </w:rPr>
              <w:t>Prostředí</w:t>
            </w:r>
          </w:p>
        </w:tc>
      </w:tr>
      <w:tr w:rsidR="00BF612A">
        <w:trPr>
          <w:trHeight w:hRule="exact" w:val="437"/>
        </w:trPr>
        <w:tc>
          <w:tcPr>
            <w:tcW w:w="1781" w:type="dxa"/>
          </w:tcPr>
          <w:p w:rsidR="00BF612A" w:rsidRDefault="003E52AB">
            <w:pPr>
              <w:pStyle w:val="TableParagraph"/>
              <w:spacing w:before="1"/>
              <w:ind w:left="56"/>
              <w:rPr>
                <w:rFonts w:ascii="Verdana"/>
                <w:sz w:val="16"/>
              </w:rPr>
            </w:pPr>
            <w:r>
              <w:rPr>
                <w:rFonts w:ascii="Verdana"/>
                <w:sz w:val="16"/>
              </w:rPr>
              <w:t>NOEL</w:t>
            </w:r>
          </w:p>
        </w:tc>
        <w:tc>
          <w:tcPr>
            <w:tcW w:w="2137" w:type="dxa"/>
          </w:tcPr>
          <w:p w:rsidR="00BF612A" w:rsidRDefault="003E52AB">
            <w:pPr>
              <w:pStyle w:val="TableParagraph"/>
              <w:spacing w:before="1"/>
              <w:ind w:left="56"/>
              <w:rPr>
                <w:rFonts w:ascii="Verdana"/>
                <w:sz w:val="16"/>
              </w:rPr>
            </w:pPr>
            <w:r>
              <w:rPr>
                <w:rFonts w:ascii="Verdana"/>
                <w:sz w:val="16"/>
              </w:rPr>
              <w:t>0,173 mg/l</w:t>
            </w:r>
          </w:p>
        </w:tc>
        <w:tc>
          <w:tcPr>
            <w:tcW w:w="2137" w:type="dxa"/>
          </w:tcPr>
          <w:p w:rsidR="00BF612A" w:rsidRDefault="003E52AB">
            <w:pPr>
              <w:pStyle w:val="TableParagraph"/>
              <w:spacing w:before="1"/>
              <w:ind w:left="56"/>
              <w:rPr>
                <w:rFonts w:ascii="Verdana"/>
                <w:sz w:val="16"/>
              </w:rPr>
            </w:pPr>
            <w:r>
              <w:rPr>
                <w:rFonts w:ascii="Verdana"/>
                <w:sz w:val="16"/>
              </w:rPr>
              <w:t xml:space="preserve">28 </w:t>
            </w:r>
            <w:proofErr w:type="gramStart"/>
            <w:r>
              <w:rPr>
                <w:rFonts w:ascii="Verdana"/>
                <w:sz w:val="16"/>
              </w:rPr>
              <w:t>den</w:t>
            </w:r>
            <w:proofErr w:type="gramEnd"/>
          </w:p>
        </w:tc>
        <w:tc>
          <w:tcPr>
            <w:tcW w:w="2200" w:type="dxa"/>
          </w:tcPr>
          <w:p w:rsidR="00BF612A" w:rsidRDefault="003E52AB">
            <w:pPr>
              <w:pStyle w:val="TableParagraph"/>
              <w:spacing w:before="1"/>
              <w:ind w:left="56" w:right="437"/>
              <w:rPr>
                <w:rFonts w:ascii="Verdana"/>
                <w:sz w:val="16"/>
              </w:rPr>
            </w:pPr>
            <w:r>
              <w:rPr>
                <w:rFonts w:ascii="Verdana"/>
                <w:sz w:val="16"/>
              </w:rPr>
              <w:t>Ryby (Oncorhynchus mykiss)</w:t>
            </w:r>
          </w:p>
        </w:tc>
        <w:tc>
          <w:tcPr>
            <w:tcW w:w="1329" w:type="dxa"/>
          </w:tcPr>
          <w:p w:rsidR="00BF612A" w:rsidRDefault="00BF612A"/>
        </w:tc>
      </w:tr>
      <w:tr w:rsidR="00BF612A">
        <w:trPr>
          <w:trHeight w:hRule="exact" w:val="243"/>
        </w:trPr>
        <w:tc>
          <w:tcPr>
            <w:tcW w:w="1781" w:type="dxa"/>
          </w:tcPr>
          <w:p w:rsidR="00BF612A" w:rsidRDefault="003E52AB">
            <w:pPr>
              <w:pStyle w:val="TableParagraph"/>
              <w:spacing w:before="1"/>
              <w:ind w:left="56"/>
              <w:rPr>
                <w:rFonts w:ascii="Verdana"/>
                <w:sz w:val="16"/>
              </w:rPr>
            </w:pPr>
            <w:r>
              <w:rPr>
                <w:rFonts w:ascii="Verdana"/>
                <w:sz w:val="16"/>
              </w:rPr>
              <w:t>NOEL</w:t>
            </w:r>
          </w:p>
        </w:tc>
        <w:tc>
          <w:tcPr>
            <w:tcW w:w="2137" w:type="dxa"/>
          </w:tcPr>
          <w:p w:rsidR="00BF612A" w:rsidRDefault="003E52AB">
            <w:pPr>
              <w:pStyle w:val="TableParagraph"/>
              <w:spacing w:before="1"/>
              <w:ind w:left="56"/>
              <w:rPr>
                <w:rFonts w:ascii="Verdana"/>
                <w:sz w:val="16"/>
              </w:rPr>
            </w:pPr>
            <w:r>
              <w:rPr>
                <w:rFonts w:ascii="Verdana"/>
                <w:sz w:val="16"/>
              </w:rPr>
              <w:t>1,22 mg/l</w:t>
            </w:r>
          </w:p>
        </w:tc>
        <w:tc>
          <w:tcPr>
            <w:tcW w:w="2137" w:type="dxa"/>
          </w:tcPr>
          <w:p w:rsidR="00BF612A" w:rsidRDefault="003E52AB">
            <w:pPr>
              <w:pStyle w:val="TableParagraph"/>
              <w:spacing w:before="1"/>
              <w:ind w:left="56"/>
              <w:rPr>
                <w:rFonts w:ascii="Verdana"/>
                <w:sz w:val="16"/>
              </w:rPr>
            </w:pPr>
            <w:r>
              <w:rPr>
                <w:rFonts w:ascii="Verdana"/>
                <w:sz w:val="16"/>
              </w:rPr>
              <w:t xml:space="preserve">21 </w:t>
            </w:r>
            <w:proofErr w:type="gramStart"/>
            <w:r>
              <w:rPr>
                <w:rFonts w:ascii="Verdana"/>
                <w:sz w:val="16"/>
              </w:rPr>
              <w:t>den</w:t>
            </w:r>
            <w:proofErr w:type="gramEnd"/>
          </w:p>
        </w:tc>
        <w:tc>
          <w:tcPr>
            <w:tcW w:w="2200" w:type="dxa"/>
          </w:tcPr>
          <w:p w:rsidR="00BF612A" w:rsidRDefault="003E52AB">
            <w:pPr>
              <w:pStyle w:val="TableParagraph"/>
              <w:spacing w:before="1"/>
              <w:ind w:left="56"/>
              <w:rPr>
                <w:rFonts w:ascii="Verdana"/>
                <w:sz w:val="16"/>
              </w:rPr>
            </w:pPr>
            <w:r>
              <w:rPr>
                <w:rFonts w:ascii="Verdana"/>
                <w:sz w:val="16"/>
              </w:rPr>
              <w:t>Dafnie (Daphnia magna)</w:t>
            </w:r>
          </w:p>
        </w:tc>
        <w:tc>
          <w:tcPr>
            <w:tcW w:w="1329" w:type="dxa"/>
          </w:tcPr>
          <w:p w:rsidR="00BF612A" w:rsidRDefault="00BF612A"/>
        </w:tc>
      </w:tr>
    </w:tbl>
    <w:p w:rsidR="00BF612A" w:rsidRDefault="003E52AB">
      <w:pPr>
        <w:pStyle w:val="Nadpis4"/>
        <w:numPr>
          <w:ilvl w:val="1"/>
          <w:numId w:val="3"/>
        </w:numPr>
        <w:tabs>
          <w:tab w:val="left" w:pos="787"/>
          <w:tab w:val="left" w:pos="788"/>
        </w:tabs>
        <w:spacing w:before="17"/>
        <w:ind w:hanging="651"/>
      </w:pPr>
      <w:r>
        <w:t>Perzistence a</w:t>
      </w:r>
      <w:r>
        <w:rPr>
          <w:spacing w:val="11"/>
        </w:rPr>
        <w:t xml:space="preserve"> </w:t>
      </w:r>
      <w:r>
        <w:t>rozložitelnost</w:t>
      </w:r>
    </w:p>
    <w:p w:rsidR="00BF612A" w:rsidRDefault="00BF612A">
      <w:pPr>
        <w:pStyle w:val="Zkladntext"/>
        <w:spacing w:before="10"/>
        <w:ind w:left="0"/>
        <w:rPr>
          <w:b/>
          <w:sz w:val="11"/>
        </w:rPr>
      </w:pPr>
    </w:p>
    <w:p w:rsidR="00BF612A" w:rsidRDefault="003E52AB">
      <w:pPr>
        <w:spacing w:before="101"/>
        <w:ind w:left="787"/>
        <w:rPr>
          <w:b/>
          <w:sz w:val="16"/>
        </w:rPr>
      </w:pPr>
      <w:r>
        <w:rPr>
          <w:b/>
          <w:sz w:val="16"/>
        </w:rPr>
        <w:t>Biologická odbouratelnost</w:t>
      </w:r>
    </w:p>
    <w:p w:rsidR="00BF612A" w:rsidRDefault="00BF612A">
      <w:pPr>
        <w:pStyle w:val="Zkladntext"/>
        <w:spacing w:before="10"/>
        <w:ind w:left="0"/>
        <w:rPr>
          <w:b/>
          <w:sz w:val="23"/>
        </w:rPr>
      </w:pPr>
    </w:p>
    <w:p w:rsidR="00BF612A" w:rsidRDefault="003E52AB">
      <w:pPr>
        <w:pStyle w:val="Zkladntext"/>
        <w:spacing w:before="101" w:after="16"/>
        <w:ind w:left="816"/>
      </w:pPr>
      <w:r>
        <w:t>Uhlovodíky, C11-C14, n-alkany, isoalkany, cyklické, &lt; 2% aromátů</w:t>
      </w:r>
    </w:p>
    <w:tbl>
      <w:tblPr>
        <w:tblStyle w:val="TableNormal"/>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5"/>
        <w:gridCol w:w="1679"/>
        <w:gridCol w:w="1822"/>
        <w:gridCol w:w="1410"/>
        <w:gridCol w:w="2008"/>
        <w:gridCol w:w="1130"/>
      </w:tblGrid>
      <w:tr w:rsidR="00BF612A">
        <w:trPr>
          <w:trHeight w:hRule="exact" w:val="441"/>
        </w:trPr>
        <w:tc>
          <w:tcPr>
            <w:tcW w:w="1535" w:type="dxa"/>
            <w:shd w:val="clear" w:color="auto" w:fill="D2D2D2"/>
          </w:tcPr>
          <w:p w:rsidR="00BF612A" w:rsidRDefault="003E52AB">
            <w:pPr>
              <w:pStyle w:val="TableParagraph"/>
              <w:spacing w:before="116"/>
              <w:ind w:left="56"/>
              <w:rPr>
                <w:rFonts w:ascii="Verdana"/>
                <w:sz w:val="16"/>
              </w:rPr>
            </w:pPr>
            <w:r>
              <w:rPr>
                <w:rFonts w:ascii="Verdana"/>
                <w:sz w:val="16"/>
              </w:rPr>
              <w:t>Parametr</w:t>
            </w:r>
          </w:p>
        </w:tc>
        <w:tc>
          <w:tcPr>
            <w:tcW w:w="1679" w:type="dxa"/>
            <w:shd w:val="clear" w:color="auto" w:fill="D2D2D2"/>
          </w:tcPr>
          <w:p w:rsidR="00BF612A" w:rsidRDefault="003E52AB">
            <w:pPr>
              <w:pStyle w:val="TableParagraph"/>
              <w:spacing w:before="116"/>
              <w:ind w:left="56"/>
              <w:rPr>
                <w:rFonts w:ascii="Verdana"/>
                <w:sz w:val="16"/>
              </w:rPr>
            </w:pPr>
            <w:r>
              <w:rPr>
                <w:rFonts w:ascii="Verdana"/>
                <w:sz w:val="16"/>
              </w:rPr>
              <w:t>Hodnota</w:t>
            </w:r>
          </w:p>
        </w:tc>
        <w:tc>
          <w:tcPr>
            <w:tcW w:w="1822" w:type="dxa"/>
            <w:shd w:val="clear" w:color="auto" w:fill="D2D2D2"/>
          </w:tcPr>
          <w:p w:rsidR="00BF612A" w:rsidRDefault="003E52AB">
            <w:pPr>
              <w:pStyle w:val="TableParagraph"/>
              <w:spacing w:before="116"/>
              <w:ind w:left="56"/>
              <w:rPr>
                <w:rFonts w:ascii="Verdana"/>
                <w:sz w:val="16"/>
              </w:rPr>
            </w:pPr>
            <w:r>
              <w:rPr>
                <w:rFonts w:ascii="Verdana"/>
                <w:sz w:val="16"/>
              </w:rPr>
              <w:t>Doba expozice</w:t>
            </w:r>
          </w:p>
        </w:tc>
        <w:tc>
          <w:tcPr>
            <w:tcW w:w="1410" w:type="dxa"/>
            <w:shd w:val="clear" w:color="auto" w:fill="D2D2D2"/>
          </w:tcPr>
          <w:p w:rsidR="00BF612A" w:rsidRDefault="003E52AB">
            <w:pPr>
              <w:pStyle w:val="TableParagraph"/>
              <w:spacing w:before="116"/>
              <w:ind w:left="56"/>
              <w:rPr>
                <w:rFonts w:ascii="Verdana" w:hAnsi="Verdana"/>
                <w:sz w:val="16"/>
              </w:rPr>
            </w:pPr>
            <w:r>
              <w:rPr>
                <w:rFonts w:ascii="Verdana" w:hAnsi="Verdana"/>
                <w:sz w:val="16"/>
              </w:rPr>
              <w:t>Prostředí</w:t>
            </w:r>
          </w:p>
        </w:tc>
        <w:tc>
          <w:tcPr>
            <w:tcW w:w="2008" w:type="dxa"/>
            <w:shd w:val="clear" w:color="auto" w:fill="D2D2D2"/>
          </w:tcPr>
          <w:p w:rsidR="00BF612A" w:rsidRDefault="003E52AB">
            <w:pPr>
              <w:pStyle w:val="TableParagraph"/>
              <w:spacing w:before="116"/>
              <w:ind w:left="56"/>
              <w:rPr>
                <w:rFonts w:ascii="Verdana" w:hAnsi="Verdana"/>
                <w:sz w:val="16"/>
              </w:rPr>
            </w:pPr>
            <w:r>
              <w:rPr>
                <w:rFonts w:ascii="Verdana" w:hAnsi="Verdana"/>
                <w:sz w:val="16"/>
              </w:rPr>
              <w:t>Výsledek</w:t>
            </w:r>
          </w:p>
        </w:tc>
        <w:tc>
          <w:tcPr>
            <w:tcW w:w="1130" w:type="dxa"/>
            <w:shd w:val="clear" w:color="auto" w:fill="D2D2D2"/>
          </w:tcPr>
          <w:p w:rsidR="00BF612A" w:rsidRDefault="003E52AB">
            <w:pPr>
              <w:pStyle w:val="TableParagraph"/>
              <w:spacing w:before="116"/>
              <w:ind w:left="56"/>
              <w:rPr>
                <w:rFonts w:ascii="Verdana"/>
                <w:sz w:val="16"/>
              </w:rPr>
            </w:pPr>
            <w:r>
              <w:rPr>
                <w:rFonts w:ascii="Verdana"/>
                <w:sz w:val="16"/>
              </w:rPr>
              <w:t>Zdroj</w:t>
            </w:r>
          </w:p>
        </w:tc>
      </w:tr>
      <w:tr w:rsidR="00BF612A">
        <w:trPr>
          <w:trHeight w:hRule="exact" w:val="437"/>
        </w:trPr>
        <w:tc>
          <w:tcPr>
            <w:tcW w:w="1535" w:type="dxa"/>
          </w:tcPr>
          <w:p w:rsidR="00BF612A" w:rsidRDefault="00BF612A"/>
        </w:tc>
        <w:tc>
          <w:tcPr>
            <w:tcW w:w="1679" w:type="dxa"/>
          </w:tcPr>
          <w:p w:rsidR="00BF612A" w:rsidRDefault="003E52AB">
            <w:pPr>
              <w:pStyle w:val="TableParagraph"/>
              <w:spacing w:before="1"/>
              <w:ind w:left="56"/>
              <w:rPr>
                <w:rFonts w:ascii="Verdana"/>
                <w:sz w:val="16"/>
              </w:rPr>
            </w:pPr>
            <w:r>
              <w:rPr>
                <w:rFonts w:ascii="Verdana"/>
                <w:sz w:val="16"/>
              </w:rPr>
              <w:t>69 %</w:t>
            </w:r>
          </w:p>
        </w:tc>
        <w:tc>
          <w:tcPr>
            <w:tcW w:w="1822" w:type="dxa"/>
          </w:tcPr>
          <w:p w:rsidR="00BF612A" w:rsidRDefault="003E52AB">
            <w:pPr>
              <w:pStyle w:val="TableParagraph"/>
              <w:spacing w:before="1"/>
              <w:ind w:left="56"/>
              <w:rPr>
                <w:rFonts w:ascii="Verdana"/>
                <w:sz w:val="16"/>
              </w:rPr>
            </w:pPr>
            <w:r>
              <w:rPr>
                <w:rFonts w:ascii="Verdana"/>
                <w:sz w:val="16"/>
              </w:rPr>
              <w:t xml:space="preserve">28 </w:t>
            </w:r>
            <w:proofErr w:type="gramStart"/>
            <w:r>
              <w:rPr>
                <w:rFonts w:ascii="Verdana"/>
                <w:sz w:val="16"/>
              </w:rPr>
              <w:t>den</w:t>
            </w:r>
            <w:proofErr w:type="gramEnd"/>
          </w:p>
        </w:tc>
        <w:tc>
          <w:tcPr>
            <w:tcW w:w="1410" w:type="dxa"/>
          </w:tcPr>
          <w:p w:rsidR="00BF612A" w:rsidRDefault="00BF612A"/>
        </w:tc>
        <w:tc>
          <w:tcPr>
            <w:tcW w:w="2008" w:type="dxa"/>
          </w:tcPr>
          <w:p w:rsidR="00BF612A" w:rsidRDefault="00BF612A"/>
        </w:tc>
        <w:tc>
          <w:tcPr>
            <w:tcW w:w="1130" w:type="dxa"/>
          </w:tcPr>
          <w:p w:rsidR="00BF612A" w:rsidRDefault="003E52AB">
            <w:pPr>
              <w:pStyle w:val="TableParagraph"/>
              <w:spacing w:before="1"/>
              <w:ind w:left="56"/>
              <w:rPr>
                <w:rFonts w:ascii="Verdana"/>
                <w:sz w:val="16"/>
              </w:rPr>
            </w:pPr>
            <w:r>
              <w:rPr>
                <w:rFonts w:ascii="Verdana"/>
                <w:sz w:val="16"/>
              </w:rPr>
              <w:t>SDS</w:t>
            </w:r>
          </w:p>
          <w:p w:rsidR="00BF612A" w:rsidRDefault="003E52AB">
            <w:pPr>
              <w:pStyle w:val="TableParagraph"/>
              <w:spacing w:before="1"/>
              <w:ind w:left="56"/>
              <w:rPr>
                <w:rFonts w:ascii="Verdana"/>
                <w:sz w:val="16"/>
              </w:rPr>
            </w:pPr>
            <w:r>
              <w:rPr>
                <w:rFonts w:ascii="Verdana"/>
                <w:sz w:val="16"/>
              </w:rPr>
              <w:t>Supplier</w:t>
            </w:r>
          </w:p>
        </w:tc>
      </w:tr>
    </w:tbl>
    <w:p w:rsidR="00BF612A" w:rsidRDefault="003E52AB">
      <w:pPr>
        <w:pStyle w:val="Zkladntext"/>
        <w:spacing w:before="2"/>
      </w:pPr>
      <w:r>
        <w:t>Směs je biologicky rozložitelná.</w:t>
      </w:r>
    </w:p>
    <w:p w:rsidR="00BF612A" w:rsidRDefault="003E52AB">
      <w:pPr>
        <w:pStyle w:val="Nadpis4"/>
        <w:numPr>
          <w:ilvl w:val="1"/>
          <w:numId w:val="3"/>
        </w:numPr>
        <w:tabs>
          <w:tab w:val="left" w:pos="787"/>
          <w:tab w:val="left" w:pos="788"/>
        </w:tabs>
        <w:spacing w:before="47"/>
        <w:ind w:hanging="651"/>
      </w:pPr>
      <w:r>
        <w:t>Bioakumulační</w:t>
      </w:r>
      <w:r>
        <w:rPr>
          <w:spacing w:val="10"/>
        </w:rPr>
        <w:t xml:space="preserve"> </w:t>
      </w:r>
      <w:r>
        <w:t>potenciál</w:t>
      </w:r>
    </w:p>
    <w:p w:rsidR="00BF612A" w:rsidRDefault="003E52AB">
      <w:pPr>
        <w:pStyle w:val="Zkladntext"/>
        <w:spacing w:before="24"/>
      </w:pPr>
      <w:r>
        <w:t>Nevýznamný.</w:t>
      </w:r>
    </w:p>
    <w:p w:rsidR="00BF612A" w:rsidRDefault="003E52AB">
      <w:pPr>
        <w:pStyle w:val="Nadpis4"/>
        <w:numPr>
          <w:ilvl w:val="1"/>
          <w:numId w:val="3"/>
        </w:numPr>
        <w:tabs>
          <w:tab w:val="left" w:pos="787"/>
          <w:tab w:val="left" w:pos="788"/>
        </w:tabs>
        <w:spacing w:before="48"/>
        <w:ind w:hanging="651"/>
      </w:pPr>
      <w:r>
        <w:t>Mobilita v</w:t>
      </w:r>
      <w:r>
        <w:rPr>
          <w:spacing w:val="6"/>
        </w:rPr>
        <w:t xml:space="preserve"> </w:t>
      </w:r>
      <w:r>
        <w:t>půdě</w:t>
      </w:r>
    </w:p>
    <w:p w:rsidR="00BF612A" w:rsidRDefault="003E52AB">
      <w:pPr>
        <w:pStyle w:val="Zkladntext"/>
        <w:spacing w:before="38"/>
      </w:pPr>
      <w:r>
        <w:t>Ve vodě a v půdě je produkt rozpustný a mobilní. V případě dešťů možná kontaminace řečišť.</w:t>
      </w:r>
    </w:p>
    <w:p w:rsidR="00BF612A" w:rsidRDefault="003E52AB">
      <w:pPr>
        <w:pStyle w:val="Nadpis4"/>
        <w:numPr>
          <w:ilvl w:val="1"/>
          <w:numId w:val="3"/>
        </w:numPr>
        <w:tabs>
          <w:tab w:val="left" w:pos="787"/>
          <w:tab w:val="left" w:pos="788"/>
        </w:tabs>
        <w:spacing w:before="32"/>
        <w:ind w:hanging="651"/>
      </w:pPr>
      <w:r>
        <w:t>Výsledky posouzení PBT a</w:t>
      </w:r>
      <w:r>
        <w:rPr>
          <w:spacing w:val="13"/>
        </w:rPr>
        <w:t xml:space="preserve"> </w:t>
      </w:r>
      <w:r>
        <w:t>vPvB</w:t>
      </w:r>
    </w:p>
    <w:p w:rsidR="00BF612A" w:rsidRDefault="003E52AB">
      <w:pPr>
        <w:pStyle w:val="Zkladntext"/>
        <w:spacing w:before="17" w:line="242" w:lineRule="auto"/>
      </w:pPr>
      <w:r>
        <w:t>Produkt neobsahuje látky splňující kritéria pro látky PBT nebo vPvB v souladu s přílohou XIII, nařízení (ES) č. 1907/2006 (REACH) v platném znění.</w:t>
      </w:r>
    </w:p>
    <w:p w:rsidR="00BF612A" w:rsidRDefault="003E52AB">
      <w:pPr>
        <w:pStyle w:val="Nadpis4"/>
        <w:numPr>
          <w:ilvl w:val="1"/>
          <w:numId w:val="3"/>
        </w:numPr>
        <w:tabs>
          <w:tab w:val="left" w:pos="787"/>
          <w:tab w:val="left" w:pos="788"/>
        </w:tabs>
        <w:spacing w:before="44"/>
        <w:ind w:hanging="651"/>
      </w:pPr>
      <w:r>
        <w:t>Jiné nepříznivé</w:t>
      </w:r>
      <w:r>
        <w:rPr>
          <w:spacing w:val="9"/>
        </w:rPr>
        <w:t xml:space="preserve"> </w:t>
      </w:r>
      <w:r>
        <w:t>účinky</w:t>
      </w:r>
    </w:p>
    <w:p w:rsidR="00BF612A" w:rsidRDefault="003E52AB">
      <w:pPr>
        <w:pStyle w:val="Zkladntext"/>
        <w:spacing w:before="21"/>
      </w:pPr>
      <w:r>
        <w:pict>
          <v:line id="_x0000_s1062" style="position:absolute;left:0;text-align:left;z-index:251658752;mso-wrap-distance-left:0;mso-wrap-distance-right:0;mso-position-horizontal-relative:page" from="41.4pt,17.55pt" to="553.9pt,17.55pt" strokeweight=".266mm">
            <w10:wrap type="topAndBottom" anchorx="page"/>
          </v:line>
        </w:pict>
      </w:r>
      <w:r>
        <w:t>neuvedeno</w:t>
      </w:r>
    </w:p>
    <w:p w:rsidR="00BF612A" w:rsidRDefault="00BF612A">
      <w:pPr>
        <w:pStyle w:val="Zkladntext"/>
        <w:spacing w:before="7"/>
        <w:ind w:left="0"/>
        <w:rPr>
          <w:sz w:val="8"/>
        </w:rPr>
      </w:pPr>
    </w:p>
    <w:p w:rsidR="00BF612A" w:rsidRDefault="003E52AB">
      <w:pPr>
        <w:pStyle w:val="Nadpis4"/>
        <w:ind w:left="136"/>
      </w:pPr>
      <w:bookmarkStart w:id="12" w:name="13._Pokyny_pro_odstraňování"/>
      <w:bookmarkEnd w:id="12"/>
      <w:r>
        <w:t>ODDÍL 13: Pokyny pro odstraňování</w:t>
      </w:r>
    </w:p>
    <w:p w:rsidR="00BF612A" w:rsidRDefault="003E52AB">
      <w:pPr>
        <w:tabs>
          <w:tab w:val="left" w:pos="787"/>
        </w:tabs>
        <w:spacing w:before="32"/>
        <w:ind w:left="136"/>
        <w:rPr>
          <w:b/>
          <w:sz w:val="16"/>
        </w:rPr>
      </w:pPr>
      <w:r>
        <w:rPr>
          <w:b/>
          <w:sz w:val="16"/>
        </w:rPr>
        <w:t>13.1</w:t>
      </w:r>
      <w:r>
        <w:rPr>
          <w:b/>
          <w:sz w:val="16"/>
        </w:rPr>
        <w:tab/>
        <w:t>Metody nakládání s</w:t>
      </w:r>
      <w:r>
        <w:rPr>
          <w:b/>
          <w:spacing w:val="11"/>
          <w:sz w:val="16"/>
        </w:rPr>
        <w:t xml:space="preserve"> </w:t>
      </w:r>
      <w:r>
        <w:rPr>
          <w:b/>
          <w:sz w:val="16"/>
        </w:rPr>
        <w:t>odpady</w:t>
      </w:r>
    </w:p>
    <w:p w:rsidR="00BF612A" w:rsidRDefault="003E52AB">
      <w:pPr>
        <w:pStyle w:val="Zkladntext"/>
        <w:spacing w:before="17" w:line="242" w:lineRule="auto"/>
        <w:ind w:right="120"/>
        <w:jc w:val="both"/>
      </w:pPr>
      <w:r>
        <w:t xml:space="preserve">Postupujte podle platných předpisů o zneškodňování odpadů. Nepoužitý výrobek a znečištěný obal uložte do označených nádob pro sběr odpadu a předejte k odstranění oprávněné osobě k odstranění odpadu (specializované firmě), která má oprávnění k této činnosti. Nepoužitý výrobek nevylévat do kanalizace. Nesmí se odstraňovat společně s komunálními odpady. Prázdné obaly je možno energeticky využít ve spalovně odpadů nebo ukládat na skládce příslušného zařazení. Dokonale vyčištěné obaly je možné předat k recyklaci. </w:t>
      </w:r>
      <w:proofErr w:type="gramStart"/>
      <w:r>
        <w:t>Nebezpečí  kontaminace</w:t>
      </w:r>
      <w:proofErr w:type="gramEnd"/>
      <w:r>
        <w:t xml:space="preserve">  životního prostředí, postupujte podle zákona č.185/2001 Sb. o odpadech, v platném znění, a podle prováděcích předpisů o zneškodňování</w:t>
      </w:r>
      <w:r>
        <w:rPr>
          <w:spacing w:val="13"/>
        </w:rPr>
        <w:t xml:space="preserve"> </w:t>
      </w:r>
      <w:r>
        <w:t>odpadů.</w:t>
      </w:r>
    </w:p>
    <w:p w:rsidR="00BF612A" w:rsidRDefault="003E52AB">
      <w:pPr>
        <w:pStyle w:val="Nadpis4"/>
        <w:spacing w:before="47"/>
        <w:jc w:val="both"/>
      </w:pPr>
      <w:r>
        <w:t>Právní předpisy o odpadech</w:t>
      </w:r>
    </w:p>
    <w:p w:rsidR="00BF612A" w:rsidRDefault="003E52AB">
      <w:pPr>
        <w:pStyle w:val="Zkladntext"/>
        <w:spacing w:before="17" w:line="242" w:lineRule="auto"/>
        <w:ind w:right="120"/>
        <w:jc w:val="both"/>
      </w:pPr>
      <w:r>
        <w:t>Zákon č. 185/2001 Sb., o odpadech, v platném znění. Vyhláška č. 383/2001 Sb., o podrobnostech nakládání s odpady, v platném znění. Vyhláška č. 93/2016 Sb., (katalog odpadů) v platném znění. Vyhláška č. 94/2016 Sb., o hodnocení nebezpečných vlastností odpadů, v platném</w:t>
      </w:r>
      <w:r>
        <w:rPr>
          <w:spacing w:val="23"/>
        </w:rPr>
        <w:t xml:space="preserve"> </w:t>
      </w:r>
      <w:r>
        <w:t>znění.</w:t>
      </w:r>
    </w:p>
    <w:p w:rsidR="00BF612A" w:rsidRDefault="003E52AB">
      <w:pPr>
        <w:pStyle w:val="Nadpis4"/>
        <w:spacing w:before="47"/>
        <w:jc w:val="both"/>
      </w:pPr>
      <w:r>
        <w:t>Kód druhu odpadu</w:t>
      </w:r>
    </w:p>
    <w:p w:rsidR="00BF612A" w:rsidRDefault="003E52AB">
      <w:pPr>
        <w:pStyle w:val="Zkladntext"/>
        <w:tabs>
          <w:tab w:val="left" w:pos="1987"/>
        </w:tabs>
        <w:spacing w:before="13"/>
      </w:pPr>
      <w:r>
        <w:t>16 03 06</w:t>
      </w:r>
      <w:r>
        <w:tab/>
      </w:r>
      <w:r>
        <w:rPr>
          <w:position w:val="2"/>
        </w:rPr>
        <w:t>Organické odpady neuvedené pod číslem 16 03</w:t>
      </w:r>
      <w:r>
        <w:rPr>
          <w:spacing w:val="18"/>
          <w:position w:val="2"/>
        </w:rPr>
        <w:t xml:space="preserve"> </w:t>
      </w:r>
      <w:r>
        <w:rPr>
          <w:position w:val="2"/>
        </w:rPr>
        <w:t>05</w:t>
      </w:r>
    </w:p>
    <w:p w:rsidR="00BF612A" w:rsidRDefault="003E52AB">
      <w:pPr>
        <w:pStyle w:val="Nadpis4"/>
        <w:spacing w:before="50"/>
      </w:pPr>
      <w:r>
        <w:t>Kód druhu odpadu pro obal</w:t>
      </w:r>
    </w:p>
    <w:p w:rsidR="00BF612A" w:rsidRDefault="003E52AB">
      <w:pPr>
        <w:pStyle w:val="Zkladntext"/>
        <w:tabs>
          <w:tab w:val="left" w:pos="1987"/>
        </w:tabs>
        <w:spacing w:before="23"/>
      </w:pPr>
      <w:r>
        <w:t>15 01 10</w:t>
      </w:r>
      <w:r>
        <w:tab/>
      </w:r>
      <w:r>
        <w:rPr>
          <w:position w:val="1"/>
        </w:rPr>
        <w:t>Obaly obsahující zbytky nebezpečných látek nebo obaly těmito látkami znečištěné</w:t>
      </w:r>
      <w:r>
        <w:rPr>
          <w:spacing w:val="31"/>
          <w:position w:val="1"/>
        </w:rPr>
        <w:t xml:space="preserve"> </w:t>
      </w:r>
      <w:r>
        <w:rPr>
          <w:position w:val="1"/>
        </w:rPr>
        <w:t>*</w:t>
      </w:r>
    </w:p>
    <w:p w:rsidR="00BF612A" w:rsidRDefault="003E52AB">
      <w:pPr>
        <w:pStyle w:val="Zkladntext"/>
        <w:spacing w:before="17"/>
      </w:pPr>
      <w:r>
        <w:pict>
          <v:line id="_x0000_s1061" style="position:absolute;left:0;text-align:left;z-index:251659776;mso-wrap-distance-left:0;mso-wrap-distance-right:0;mso-position-horizontal-relative:page" from="41.4pt,17.5pt" to="553.9pt,17.5pt" strokeweight=".266mm">
            <w10:wrap type="topAndBottom" anchorx="page"/>
          </v:line>
        </w:pict>
      </w:r>
      <w:r>
        <w:t>(*) - nebezpečný odpad podle směrnice 2008/98/ES o nebezpečných odpadech</w:t>
      </w:r>
    </w:p>
    <w:p w:rsidR="00BF612A" w:rsidRDefault="003E52AB">
      <w:pPr>
        <w:pStyle w:val="Nadpis4"/>
        <w:spacing w:before="123"/>
        <w:ind w:left="136"/>
      </w:pPr>
      <w:bookmarkStart w:id="13" w:name="14._Informace_pro_přepravu"/>
      <w:bookmarkEnd w:id="13"/>
      <w:r>
        <w:t>ODDÍL 14: Informace pro přepravu</w:t>
      </w:r>
    </w:p>
    <w:p w:rsidR="00BF612A" w:rsidRDefault="003E52AB">
      <w:pPr>
        <w:pStyle w:val="Odstavecseseznamem"/>
        <w:numPr>
          <w:ilvl w:val="1"/>
          <w:numId w:val="2"/>
        </w:numPr>
        <w:tabs>
          <w:tab w:val="left" w:pos="787"/>
          <w:tab w:val="left" w:pos="788"/>
        </w:tabs>
        <w:spacing w:before="33"/>
        <w:ind w:hanging="651"/>
        <w:rPr>
          <w:b/>
          <w:sz w:val="16"/>
        </w:rPr>
      </w:pPr>
      <w:r>
        <w:rPr>
          <w:b/>
          <w:sz w:val="16"/>
        </w:rPr>
        <w:t>UN</w:t>
      </w:r>
      <w:r>
        <w:rPr>
          <w:b/>
          <w:spacing w:val="3"/>
          <w:sz w:val="16"/>
        </w:rPr>
        <w:t xml:space="preserve"> </w:t>
      </w:r>
      <w:r>
        <w:rPr>
          <w:b/>
          <w:sz w:val="16"/>
        </w:rPr>
        <w:t>číslo</w:t>
      </w:r>
    </w:p>
    <w:p w:rsidR="00BF612A" w:rsidRDefault="003E52AB">
      <w:pPr>
        <w:pStyle w:val="Zkladntext"/>
        <w:spacing w:before="20"/>
      </w:pPr>
      <w:r>
        <w:t>Nepodléhá předpisům ADR.</w:t>
      </w:r>
    </w:p>
    <w:p w:rsidR="00BF612A" w:rsidRDefault="003E52AB">
      <w:pPr>
        <w:pStyle w:val="Nadpis4"/>
        <w:numPr>
          <w:ilvl w:val="1"/>
          <w:numId w:val="2"/>
        </w:numPr>
        <w:tabs>
          <w:tab w:val="left" w:pos="787"/>
          <w:tab w:val="left" w:pos="788"/>
        </w:tabs>
        <w:spacing w:before="49"/>
        <w:ind w:hanging="651"/>
      </w:pPr>
      <w:r>
        <w:t>Oficiální (OSN) pojmenování pro</w:t>
      </w:r>
      <w:r>
        <w:rPr>
          <w:spacing w:val="17"/>
        </w:rPr>
        <w:t xml:space="preserve"> </w:t>
      </w:r>
      <w:r>
        <w:t>přepravu</w:t>
      </w:r>
    </w:p>
    <w:p w:rsidR="00BF612A" w:rsidRDefault="003E52AB">
      <w:pPr>
        <w:pStyle w:val="Zkladntext"/>
        <w:spacing w:before="33"/>
      </w:pPr>
      <w:r>
        <w:t>neuvedeno</w:t>
      </w:r>
    </w:p>
    <w:p w:rsidR="00BF612A" w:rsidRDefault="00BF612A">
      <w:pPr>
        <w:sectPr w:rsidR="00BF612A" w:rsidSect="003E52AB">
          <w:pgSz w:w="11900" w:h="16840"/>
          <w:pgMar w:top="860" w:right="700" w:bottom="1520" w:left="720" w:header="850" w:footer="397" w:gutter="0"/>
          <w:cols w:space="708"/>
          <w:docGrid w:linePitch="299"/>
        </w:sectPr>
      </w:pPr>
    </w:p>
    <w:p w:rsidR="00BF612A" w:rsidRDefault="003E52AB">
      <w:pPr>
        <w:pStyle w:val="Nadpis4"/>
        <w:numPr>
          <w:ilvl w:val="1"/>
          <w:numId w:val="2"/>
        </w:numPr>
        <w:tabs>
          <w:tab w:val="left" w:pos="787"/>
          <w:tab w:val="left" w:pos="788"/>
        </w:tabs>
        <w:spacing w:before="67"/>
        <w:ind w:hanging="651"/>
      </w:pPr>
      <w:r>
        <w:lastRenderedPageBreak/>
        <w:t>Třída/třídy nebezpečnosti pro</w:t>
      </w:r>
      <w:r>
        <w:rPr>
          <w:spacing w:val="17"/>
        </w:rPr>
        <w:t xml:space="preserve"> </w:t>
      </w:r>
      <w:r>
        <w:t>přepravu</w:t>
      </w:r>
    </w:p>
    <w:p w:rsidR="00BF612A" w:rsidRDefault="003E52AB">
      <w:pPr>
        <w:pStyle w:val="Zkladntext"/>
        <w:spacing w:before="32"/>
      </w:pPr>
      <w:r>
        <w:t>neuvedeno</w:t>
      </w:r>
    </w:p>
    <w:p w:rsidR="00BF612A" w:rsidRDefault="003E52AB">
      <w:pPr>
        <w:pStyle w:val="Nadpis4"/>
        <w:numPr>
          <w:ilvl w:val="1"/>
          <w:numId w:val="2"/>
        </w:numPr>
        <w:tabs>
          <w:tab w:val="left" w:pos="787"/>
          <w:tab w:val="left" w:pos="788"/>
        </w:tabs>
        <w:spacing w:before="32"/>
        <w:ind w:hanging="651"/>
      </w:pPr>
      <w:r>
        <w:t>Obalová</w:t>
      </w:r>
      <w:r>
        <w:rPr>
          <w:spacing w:val="7"/>
        </w:rPr>
        <w:t xml:space="preserve"> </w:t>
      </w:r>
      <w:r>
        <w:t>skupina</w:t>
      </w:r>
    </w:p>
    <w:p w:rsidR="00BF612A" w:rsidRDefault="003E52AB">
      <w:pPr>
        <w:pStyle w:val="Zkladntext"/>
        <w:spacing w:before="32"/>
      </w:pPr>
      <w:r>
        <w:t>neuvedeno</w:t>
      </w:r>
    </w:p>
    <w:p w:rsidR="00BF612A" w:rsidRDefault="003E52AB">
      <w:pPr>
        <w:pStyle w:val="Nadpis4"/>
        <w:numPr>
          <w:ilvl w:val="1"/>
          <w:numId w:val="2"/>
        </w:numPr>
        <w:tabs>
          <w:tab w:val="left" w:pos="787"/>
          <w:tab w:val="left" w:pos="788"/>
        </w:tabs>
        <w:spacing w:before="32"/>
        <w:ind w:hanging="651"/>
      </w:pPr>
      <w:r>
        <w:t>Nebezpečnost pro životní</w:t>
      </w:r>
      <w:r>
        <w:rPr>
          <w:spacing w:val="14"/>
        </w:rPr>
        <w:t xml:space="preserve"> </w:t>
      </w:r>
      <w:r>
        <w:t>prostředí</w:t>
      </w:r>
    </w:p>
    <w:p w:rsidR="00BF612A" w:rsidRDefault="003E52AB">
      <w:pPr>
        <w:pStyle w:val="Zkladntext"/>
        <w:spacing w:before="32"/>
      </w:pPr>
      <w:r>
        <w:t>NE</w:t>
      </w:r>
    </w:p>
    <w:p w:rsidR="00BF612A" w:rsidRDefault="003E52AB">
      <w:pPr>
        <w:pStyle w:val="Nadpis4"/>
        <w:numPr>
          <w:ilvl w:val="1"/>
          <w:numId w:val="2"/>
        </w:numPr>
        <w:tabs>
          <w:tab w:val="left" w:pos="787"/>
          <w:tab w:val="left" w:pos="788"/>
        </w:tabs>
        <w:spacing w:before="36"/>
        <w:ind w:hanging="651"/>
      </w:pPr>
      <w:r>
        <w:t>Zvláštní bezpečnostní opatření pro</w:t>
      </w:r>
      <w:r>
        <w:rPr>
          <w:spacing w:val="18"/>
        </w:rPr>
        <w:t xml:space="preserve"> </w:t>
      </w:r>
      <w:r>
        <w:t>uživatele</w:t>
      </w:r>
    </w:p>
    <w:p w:rsidR="00BF612A" w:rsidRDefault="003E52AB">
      <w:pPr>
        <w:pStyle w:val="Zkladntext"/>
        <w:spacing w:before="32"/>
      </w:pPr>
      <w:r>
        <w:t>Výrobky se dopravují v běžných, krytých a čistých dopravních prostředcích v poloze na stojato tj. uzávěrem nahoru, chráněny před povětrnostními vlivy, přímým sluncem, nárazy a pády.</w:t>
      </w:r>
    </w:p>
    <w:p w:rsidR="00BF612A" w:rsidRDefault="003E52AB">
      <w:pPr>
        <w:pStyle w:val="Nadpis4"/>
        <w:numPr>
          <w:ilvl w:val="1"/>
          <w:numId w:val="2"/>
        </w:numPr>
        <w:tabs>
          <w:tab w:val="left" w:pos="787"/>
          <w:tab w:val="left" w:pos="788"/>
        </w:tabs>
        <w:spacing w:before="32"/>
        <w:ind w:hanging="651"/>
      </w:pPr>
      <w:r>
        <w:t>Hromadná přeprava podle přílohy II úmluvy MARPOL a předpisu</w:t>
      </w:r>
      <w:r>
        <w:rPr>
          <w:spacing w:val="28"/>
        </w:rPr>
        <w:t xml:space="preserve"> </w:t>
      </w:r>
      <w:r>
        <w:t>IBC</w:t>
      </w:r>
    </w:p>
    <w:p w:rsidR="00BF612A" w:rsidRDefault="003E52AB">
      <w:pPr>
        <w:pStyle w:val="Zkladntext"/>
        <w:spacing w:before="33"/>
      </w:pPr>
      <w:r>
        <w:t>Neaplikovatelné</w:t>
      </w:r>
    </w:p>
    <w:p w:rsidR="00BF612A" w:rsidRDefault="003E52AB">
      <w:pPr>
        <w:pStyle w:val="Nadpis4"/>
        <w:spacing w:before="35"/>
      </w:pPr>
      <w:r>
        <w:t>Doplňující informace</w:t>
      </w:r>
    </w:p>
    <w:p w:rsidR="00BF612A" w:rsidRDefault="003E52AB">
      <w:pPr>
        <w:pStyle w:val="Zkladntext"/>
        <w:spacing w:before="33"/>
        <w:ind w:right="193"/>
      </w:pPr>
      <w:r>
        <w:t xml:space="preserve">ADN: Látka nebezpečná pro vnitrostátní říční dopravuČíslo UN: 9003 Třída nebezpečnosti 9Název </w:t>
      </w:r>
      <w:proofErr w:type="gramStart"/>
      <w:r>
        <w:t>látky:LÁTKY</w:t>
      </w:r>
      <w:proofErr w:type="gramEnd"/>
      <w:r>
        <w:t xml:space="preserve"> S BODEM VZPLANUTÍ VÍCE NEŽ 60 °C A MÉNĚ NEŽ 100 °C (Uhlovodíky, C10 – C13, n- alkany, isoalkany, cyklické, &lt; 2</w:t>
      </w:r>
    </w:p>
    <w:p w:rsidR="00BF612A" w:rsidRDefault="003E52AB">
      <w:pPr>
        <w:pStyle w:val="Zkladntext"/>
      </w:pPr>
      <w:r>
        <w:t xml:space="preserve">% </w:t>
      </w:r>
      <w:proofErr w:type="gramStart"/>
      <w:r>
        <w:t>aromátů)SUBSTANCES</w:t>
      </w:r>
      <w:proofErr w:type="gramEnd"/>
      <w:r>
        <w:t xml:space="preserve"> WITH A FLASH POINT ABOVE 60°C AND NOT MORE THAN 100°C (Hydrocarbons, C10 –</w:t>
      </w:r>
    </w:p>
    <w:p w:rsidR="00BF612A" w:rsidRDefault="003E52AB">
      <w:pPr>
        <w:pStyle w:val="Zkladntext"/>
      </w:pPr>
      <w:r>
        <w:t>C13, n-alkanes, isoalkanes, cyclics, &lt; 2 % aromatics)</w:t>
      </w:r>
    </w:p>
    <w:p w:rsidR="00BF612A" w:rsidRDefault="003E52AB">
      <w:pPr>
        <w:pStyle w:val="Zkladntext"/>
        <w:spacing w:before="11"/>
        <w:ind w:left="0"/>
        <w:rPr>
          <w:sz w:val="22"/>
        </w:rPr>
      </w:pPr>
      <w:r>
        <w:pict>
          <v:line id="_x0000_s1060" style="position:absolute;z-index:251660800;mso-wrap-distance-left:0;mso-wrap-distance-right:0;mso-position-horizontal-relative:page" from="41.4pt,16.3pt" to="553.9pt,16.3pt" strokeweight=".266mm">
            <w10:wrap type="topAndBottom" anchorx="page"/>
          </v:line>
        </w:pict>
      </w:r>
    </w:p>
    <w:p w:rsidR="00BF612A" w:rsidRDefault="003E52AB">
      <w:pPr>
        <w:pStyle w:val="Nadpis4"/>
        <w:spacing w:before="158"/>
        <w:ind w:left="136"/>
      </w:pPr>
      <w:bookmarkStart w:id="14" w:name="15._Informace_o_předpisech"/>
      <w:bookmarkEnd w:id="14"/>
      <w:r>
        <w:t>ODDÍL 15: Informace o předpisech</w:t>
      </w:r>
    </w:p>
    <w:p w:rsidR="00BF612A" w:rsidRDefault="003E52AB">
      <w:pPr>
        <w:pStyle w:val="Odstavecseseznamem"/>
        <w:numPr>
          <w:ilvl w:val="1"/>
          <w:numId w:val="1"/>
        </w:numPr>
        <w:tabs>
          <w:tab w:val="left" w:pos="787"/>
          <w:tab w:val="left" w:pos="788"/>
        </w:tabs>
        <w:spacing w:before="16"/>
        <w:ind w:right="251" w:hanging="651"/>
        <w:rPr>
          <w:b/>
          <w:sz w:val="16"/>
        </w:rPr>
      </w:pPr>
      <w:r>
        <w:rPr>
          <w:b/>
          <w:sz w:val="16"/>
        </w:rPr>
        <w:t>Předpisy týkající se bezpečnosti, zdraví a životního prostředí/specifické právní předpisy týkající se látky nebo</w:t>
      </w:r>
      <w:r>
        <w:rPr>
          <w:b/>
          <w:spacing w:val="4"/>
          <w:sz w:val="16"/>
        </w:rPr>
        <w:t xml:space="preserve"> </w:t>
      </w:r>
      <w:r>
        <w:rPr>
          <w:b/>
          <w:sz w:val="16"/>
        </w:rPr>
        <w:t>směsi</w:t>
      </w:r>
    </w:p>
    <w:p w:rsidR="00BF612A" w:rsidRDefault="003E52AB">
      <w:pPr>
        <w:pStyle w:val="Zkladntext"/>
        <w:spacing w:before="32" w:line="242" w:lineRule="auto"/>
        <w:ind w:right="120"/>
        <w:jc w:val="both"/>
      </w:pPr>
      <w:r>
        <w:t>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v platném znění. Nařízení Evropského parlamentu a Rady (ES) č. 1272/2008 ze dne 16. prosince 2008 o klasifikaci, označování a balení látek a směsí, o změně a zrušení směrnic 67/548/EHS a 1999/45/ES a o změně nařízení (ES) č. 1907/2006 v platném znění. Zákon č. 350/2011 Sb., o chemických látkách a chemických směsích a o změně některých zákonů (chemický zákon). Zákon č. 258/2000 Sb., o ochraně veřejného zdraví v platném znění. Nařízení vlády č. 361/2007 Sb., kterým se stanoví podmínky ochrany zdraví při práci v platném znění. Vyhláška č. 415/2012 Sb., o přípustné úrovni znečišťování a   jejím zjišťování a o provedení některých dalších ustanovení zákona o ochraně ovzduší v platném znění. Zákon č. 185/2001 Sb., o odpadech a jeho prováděcí předpisy v platném znění. Zákon č. 201/2012 Sb., o ochraně ovzduší v platném znění. Nařízení vlády č. 80/2014, kterým se mění nařízení vlády č. 194/2001 Sb., kterým se stanoví technické požadavky na aerosolové rozprašovače, ve znění pozdějších předpisů. Vyhláška č. 432/2003 Sb.,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 v platném</w:t>
      </w:r>
      <w:r>
        <w:rPr>
          <w:spacing w:val="18"/>
        </w:rPr>
        <w:t xml:space="preserve"> </w:t>
      </w:r>
      <w:r>
        <w:t>znění.</w:t>
      </w:r>
    </w:p>
    <w:p w:rsidR="00BF612A" w:rsidRDefault="003E52AB">
      <w:pPr>
        <w:pStyle w:val="Nadpis4"/>
        <w:numPr>
          <w:ilvl w:val="1"/>
          <w:numId w:val="1"/>
        </w:numPr>
        <w:tabs>
          <w:tab w:val="left" w:pos="787"/>
          <w:tab w:val="left" w:pos="788"/>
        </w:tabs>
        <w:spacing w:before="84"/>
        <w:ind w:hanging="651"/>
      </w:pPr>
      <w:r>
        <w:t>Posouzení chemické</w:t>
      </w:r>
      <w:r>
        <w:rPr>
          <w:spacing w:val="14"/>
        </w:rPr>
        <w:t xml:space="preserve"> </w:t>
      </w:r>
      <w:r>
        <w:t>bezpečnosti</w:t>
      </w:r>
    </w:p>
    <w:p w:rsidR="00BF612A" w:rsidRDefault="003E52AB">
      <w:pPr>
        <w:pStyle w:val="Zkladntext"/>
        <w:spacing w:before="33"/>
        <w:jc w:val="both"/>
      </w:pPr>
      <w:r>
        <w:pict>
          <v:line id="_x0000_s1059" style="position:absolute;left:0;text-align:left;z-index:251661824;mso-wrap-distance-left:0;mso-wrap-distance-right:0;mso-position-horizontal-relative:page" from="41.4pt,17.5pt" to="553.9pt,17.5pt" strokeweight=".266mm">
            <w10:wrap type="topAndBottom" anchorx="page"/>
          </v:line>
        </w:pict>
      </w:r>
      <w:r>
        <w:t>Bylo provedeno pro tuto látku. Provedl registrant.</w:t>
      </w:r>
    </w:p>
    <w:p w:rsidR="00BF612A" w:rsidRDefault="003E52AB">
      <w:pPr>
        <w:pStyle w:val="Nadpis4"/>
        <w:spacing w:before="136"/>
        <w:ind w:left="136"/>
      </w:pPr>
      <w:bookmarkStart w:id="15" w:name="16._Další_informace"/>
      <w:bookmarkEnd w:id="15"/>
      <w:r>
        <w:t>ODDÍL 16: Další informace</w:t>
      </w:r>
    </w:p>
    <w:p w:rsidR="00BF612A" w:rsidRDefault="003E52AB">
      <w:pPr>
        <w:spacing w:before="33"/>
        <w:ind w:left="787"/>
        <w:rPr>
          <w:b/>
          <w:sz w:val="16"/>
        </w:rPr>
      </w:pPr>
      <w:r>
        <w:rPr>
          <w:b/>
          <w:sz w:val="16"/>
        </w:rPr>
        <w:t>Seznam standardních vět o nebezpečnosti použitých v bezpečnostním listu</w:t>
      </w:r>
    </w:p>
    <w:p w:rsidR="00BF612A" w:rsidRDefault="003E52AB">
      <w:pPr>
        <w:pStyle w:val="Zkladntext"/>
        <w:tabs>
          <w:tab w:val="left" w:pos="2589"/>
        </w:tabs>
        <w:spacing w:before="17"/>
      </w:pPr>
      <w:r>
        <w:t>H304</w:t>
      </w:r>
      <w:r>
        <w:tab/>
        <w:t>Při požití a vniknutí do dýchacích cest může způsobit</w:t>
      </w:r>
      <w:r>
        <w:rPr>
          <w:spacing w:val="21"/>
        </w:rPr>
        <w:t xml:space="preserve"> </w:t>
      </w:r>
      <w:r>
        <w:t>smrt.</w:t>
      </w:r>
    </w:p>
    <w:p w:rsidR="00BF612A" w:rsidRDefault="003E52AB">
      <w:pPr>
        <w:pStyle w:val="Nadpis4"/>
        <w:spacing w:before="49"/>
      </w:pPr>
      <w:r>
        <w:t>Seznam pokynů pro bezpečné zacházení použitých v bezpečnostním listu</w:t>
      </w:r>
    </w:p>
    <w:p w:rsidR="00BF612A" w:rsidRDefault="00BF612A">
      <w:pPr>
        <w:sectPr w:rsidR="00BF612A" w:rsidSect="003E52AB">
          <w:pgSz w:w="11900" w:h="16840"/>
          <w:pgMar w:top="860" w:right="700" w:bottom="1520" w:left="720" w:header="850" w:footer="397" w:gutter="0"/>
          <w:cols w:space="708"/>
          <w:docGrid w:linePitch="299"/>
        </w:sectPr>
      </w:pPr>
    </w:p>
    <w:p w:rsidR="00BF612A" w:rsidRDefault="003E52AB">
      <w:pPr>
        <w:pStyle w:val="Zkladntext"/>
        <w:spacing w:before="16" w:line="280" w:lineRule="auto"/>
        <w:ind w:right="1068"/>
        <w:jc w:val="center"/>
      </w:pPr>
      <w:r>
        <w:t>P101 P102</w:t>
      </w:r>
    </w:p>
    <w:p w:rsidR="00BF612A" w:rsidRDefault="003E52AB">
      <w:pPr>
        <w:pStyle w:val="Zkladntext"/>
        <w:spacing w:line="280" w:lineRule="auto"/>
        <w:ind w:right="520"/>
      </w:pPr>
      <w:r>
        <w:t>P301+P310 P331</w:t>
      </w:r>
    </w:p>
    <w:p w:rsidR="00BF612A" w:rsidRDefault="003E52AB">
      <w:pPr>
        <w:pStyle w:val="Zkladntext"/>
        <w:spacing w:line="280" w:lineRule="auto"/>
        <w:ind w:right="1068"/>
        <w:jc w:val="center"/>
      </w:pPr>
      <w:r>
        <w:t>P405 P501</w:t>
      </w:r>
    </w:p>
    <w:p w:rsidR="00BF612A" w:rsidRDefault="00BF612A">
      <w:pPr>
        <w:pStyle w:val="Zkladntext"/>
        <w:spacing w:before="11"/>
        <w:ind w:left="0"/>
        <w:rPr>
          <w:sz w:val="15"/>
        </w:rPr>
      </w:pPr>
    </w:p>
    <w:p w:rsidR="00BF612A" w:rsidRDefault="003E52AB">
      <w:pPr>
        <w:pStyle w:val="Zkladntext"/>
      </w:pPr>
      <w:r>
        <w:t>P305+P351+P338</w:t>
      </w:r>
    </w:p>
    <w:p w:rsidR="00BF612A" w:rsidRDefault="003E52AB">
      <w:pPr>
        <w:pStyle w:val="Zkladntext"/>
        <w:spacing w:before="16" w:line="280" w:lineRule="auto"/>
        <w:ind w:left="287" w:right="1409"/>
      </w:pPr>
      <w:r>
        <w:br w:type="column"/>
      </w:r>
      <w:r>
        <w:t>Je-li nutná lékařská pomoc, mějte po ruce obal nebo štítek výrobku. Uchovávejte mimo dosah dětí.</w:t>
      </w:r>
    </w:p>
    <w:p w:rsidR="00BF612A" w:rsidRDefault="003E52AB">
      <w:pPr>
        <w:pStyle w:val="Zkladntext"/>
        <w:spacing w:line="280" w:lineRule="auto"/>
        <w:ind w:left="287" w:right="715"/>
      </w:pPr>
      <w:r>
        <w:t>PŘI POŽITÍ: Okamžitě volejte TOXIKOLOGICKÉ INFORMAČNÍ STŘEDISKO/lékaře. NEVYVOLÁVEJTE zvracení.</w:t>
      </w:r>
    </w:p>
    <w:p w:rsidR="00BF612A" w:rsidRDefault="003E52AB">
      <w:pPr>
        <w:pStyle w:val="Zkladntext"/>
        <w:ind w:left="287"/>
      </w:pPr>
      <w:r>
        <w:t>Skladujte uzamčené.</w:t>
      </w:r>
    </w:p>
    <w:p w:rsidR="00BF612A" w:rsidRDefault="003E52AB">
      <w:pPr>
        <w:pStyle w:val="Zkladntext"/>
        <w:spacing w:before="33"/>
        <w:ind w:left="287" w:right="19"/>
      </w:pPr>
      <w:r>
        <w:t>Odstraňte obsah/obal v souladu s místními předpisy předáním osobě oprávněné k likvidaci odpadů nebo na místo určené obcí.</w:t>
      </w:r>
    </w:p>
    <w:p w:rsidR="00BF612A" w:rsidRDefault="003E52AB">
      <w:pPr>
        <w:pStyle w:val="Zkladntext"/>
        <w:spacing w:before="32"/>
        <w:ind w:left="287" w:right="715"/>
      </w:pPr>
      <w:r>
        <w:t>PŘI ZASAŽENÍ OČÍ: Několik minut opatrně vyplachujte vodou. Vyjměte kontaktní čočky, jsou-li nasazeny a pokud je lze vyjmout snadno. Pokračujte ve vyplachování.</w:t>
      </w:r>
    </w:p>
    <w:p w:rsidR="00BF612A" w:rsidRDefault="00BF612A">
      <w:pPr>
        <w:sectPr w:rsidR="00BF612A" w:rsidSect="003E52AB">
          <w:type w:val="continuous"/>
          <w:pgSz w:w="11900" w:h="16840"/>
          <w:pgMar w:top="860" w:right="700" w:bottom="1520" w:left="720" w:header="850" w:footer="397" w:gutter="0"/>
          <w:cols w:num="2" w:space="708" w:equalWidth="0">
            <w:col w:w="2262" w:space="40"/>
            <w:col w:w="8178"/>
          </w:cols>
          <w:docGrid w:linePitch="299"/>
        </w:sectPr>
      </w:pPr>
    </w:p>
    <w:p w:rsidR="00BF612A" w:rsidRDefault="003E52AB">
      <w:pPr>
        <w:pStyle w:val="Nadpis4"/>
        <w:spacing w:before="48"/>
      </w:pPr>
      <w:r>
        <w:t>Seznam doplňkových standardních vět o nebezpečnosti použitých v bezpečnostním listu</w:t>
      </w:r>
    </w:p>
    <w:p w:rsidR="00BF612A" w:rsidRDefault="003E52AB">
      <w:pPr>
        <w:pStyle w:val="Zkladntext"/>
        <w:tabs>
          <w:tab w:val="left" w:pos="2589"/>
        </w:tabs>
        <w:spacing w:before="17"/>
      </w:pPr>
      <w:r>
        <w:t>EUH</w:t>
      </w:r>
      <w:r>
        <w:rPr>
          <w:spacing w:val="1"/>
        </w:rPr>
        <w:t xml:space="preserve"> </w:t>
      </w:r>
      <w:r>
        <w:t>066</w:t>
      </w:r>
      <w:r>
        <w:tab/>
        <w:t>Opakovaná expozice může způsobit vysušení nebo popraskání</w:t>
      </w:r>
      <w:r>
        <w:rPr>
          <w:spacing w:val="25"/>
        </w:rPr>
        <w:t xml:space="preserve"> </w:t>
      </w:r>
      <w:r>
        <w:t>kůže.</w:t>
      </w:r>
    </w:p>
    <w:p w:rsidR="00BF612A" w:rsidRDefault="003E52AB">
      <w:pPr>
        <w:pStyle w:val="Nadpis4"/>
        <w:spacing w:before="49"/>
      </w:pPr>
      <w:r>
        <w:t>Další informace důležité z hlediska bezpečnosti a ochrany zdraví člověka</w:t>
      </w:r>
    </w:p>
    <w:p w:rsidR="00BF612A" w:rsidRDefault="00BF612A">
      <w:pPr>
        <w:sectPr w:rsidR="00BF612A">
          <w:type w:val="continuous"/>
          <w:pgSz w:w="11900" w:h="16840"/>
          <w:pgMar w:top="860" w:right="700" w:bottom="1520" w:left="720" w:header="708" w:footer="708" w:gutter="0"/>
          <w:cols w:space="708"/>
        </w:sectPr>
      </w:pPr>
    </w:p>
    <w:p w:rsidR="00BF612A" w:rsidRDefault="003E52AB">
      <w:pPr>
        <w:pStyle w:val="Zkladntext"/>
        <w:spacing w:before="62" w:line="192" w:lineRule="exact"/>
      </w:pPr>
      <w:r>
        <w:lastRenderedPageBreak/>
        <w:t>Výrobek nesmí být - bez zvláštního souhlasu výrobce/dovozce - používán k jinému účelu, než je uvedeno v oddílu 1. Uživatel je odpovědný za dodržování všech souvisejících předpisů na ochranu zdraví.</w:t>
      </w:r>
    </w:p>
    <w:p w:rsidR="00BF612A" w:rsidRDefault="003E52AB">
      <w:pPr>
        <w:pStyle w:val="Nadpis4"/>
        <w:spacing w:before="43"/>
      </w:pPr>
      <w:r>
        <w:t>Legenda ke zkratkám a zkratkovým slovům použitým v bezpečnostním listu</w:t>
      </w:r>
    </w:p>
    <w:p w:rsidR="00BF612A" w:rsidRDefault="00BF612A">
      <w:pPr>
        <w:sectPr w:rsidR="00BF612A" w:rsidSect="003E52AB">
          <w:pgSz w:w="11900" w:h="16840"/>
          <w:pgMar w:top="860" w:right="700" w:bottom="1520" w:left="720" w:header="850" w:footer="397" w:gutter="0"/>
          <w:cols w:space="708"/>
          <w:docGrid w:linePitch="299"/>
        </w:sectPr>
      </w:pPr>
    </w:p>
    <w:p w:rsidR="00BF612A" w:rsidRDefault="003E52AB">
      <w:pPr>
        <w:pStyle w:val="Zkladntext"/>
        <w:spacing w:before="17" w:line="280" w:lineRule="auto"/>
        <w:ind w:right="43"/>
      </w:pPr>
      <w:r>
        <w:t>ADR BCF CAS CLP DNEL EC50 EINECS</w:t>
      </w:r>
    </w:p>
    <w:p w:rsidR="00BF612A" w:rsidRDefault="003E52AB">
      <w:pPr>
        <w:pStyle w:val="Zkladntext"/>
        <w:spacing w:line="280" w:lineRule="auto"/>
        <w:ind w:right="266"/>
      </w:pPr>
      <w:r>
        <w:t>EmS ES EU IATA IBC</w:t>
      </w:r>
    </w:p>
    <w:p w:rsidR="00BF612A" w:rsidRDefault="00BF612A">
      <w:pPr>
        <w:pStyle w:val="Zkladntext"/>
        <w:spacing w:before="11"/>
        <w:ind w:left="0"/>
        <w:rPr>
          <w:sz w:val="15"/>
        </w:rPr>
      </w:pPr>
    </w:p>
    <w:p w:rsidR="00BF612A" w:rsidRDefault="003E52AB">
      <w:pPr>
        <w:pStyle w:val="Zkladntext"/>
        <w:spacing w:line="280" w:lineRule="auto"/>
        <w:ind w:right="113"/>
      </w:pPr>
      <w:r>
        <w:t>IC50 ICAO IMDG INCI ISO IUPAC LC50 LD50 LOAEC LOAEL</w:t>
      </w:r>
    </w:p>
    <w:p w:rsidR="00BF612A" w:rsidRDefault="003E52AB">
      <w:pPr>
        <w:pStyle w:val="Zkladntext"/>
        <w:spacing w:line="280" w:lineRule="auto"/>
      </w:pPr>
      <w:r>
        <w:t>log Kow MARPOL NOAEC NOAEL NOEC NOEL NPK OEL PBT</w:t>
      </w:r>
    </w:p>
    <w:p w:rsidR="00BF612A" w:rsidRDefault="003E52AB">
      <w:pPr>
        <w:pStyle w:val="Zkladntext"/>
        <w:spacing w:line="280" w:lineRule="auto"/>
        <w:ind w:right="221"/>
      </w:pPr>
      <w:r>
        <w:t>PEL PNEC</w:t>
      </w:r>
    </w:p>
    <w:p w:rsidR="00BF612A" w:rsidRDefault="003E52AB">
      <w:pPr>
        <w:pStyle w:val="Zkladntext"/>
        <w:spacing w:line="280" w:lineRule="auto"/>
        <w:ind w:right="111"/>
      </w:pPr>
      <w:r>
        <w:t>ppm REACH RID UN UVCB</w:t>
      </w:r>
    </w:p>
    <w:p w:rsidR="00BF612A" w:rsidRDefault="00BF612A">
      <w:pPr>
        <w:pStyle w:val="Zkladntext"/>
        <w:spacing w:before="11"/>
        <w:ind w:left="0"/>
        <w:rPr>
          <w:sz w:val="15"/>
        </w:rPr>
      </w:pPr>
    </w:p>
    <w:p w:rsidR="00BF612A" w:rsidRDefault="003E52AB">
      <w:pPr>
        <w:pStyle w:val="Zkladntext"/>
        <w:spacing w:before="1"/>
      </w:pPr>
      <w:r>
        <w:t>VOC</w:t>
      </w:r>
    </w:p>
    <w:p w:rsidR="00BF612A" w:rsidRDefault="003E52AB">
      <w:pPr>
        <w:pStyle w:val="Zkladntext"/>
        <w:spacing w:before="33"/>
      </w:pPr>
      <w:r>
        <w:t>vPvB</w:t>
      </w:r>
    </w:p>
    <w:p w:rsidR="00BF612A" w:rsidRDefault="003E52AB">
      <w:pPr>
        <w:pStyle w:val="Zkladntext"/>
        <w:spacing w:before="17" w:line="280" w:lineRule="auto"/>
        <w:ind w:right="2333"/>
      </w:pPr>
      <w:r>
        <w:br w:type="column"/>
      </w:r>
      <w:r>
        <w:t>Evropská dohoda o mezinárodní silniční přepravě nebezpečných věcí Biokoncentrační faktor</w:t>
      </w:r>
    </w:p>
    <w:p w:rsidR="00BF612A" w:rsidRDefault="003E52AB">
      <w:pPr>
        <w:pStyle w:val="Zkladntext"/>
      </w:pPr>
      <w:r>
        <w:t>Chemical Abstracts Service</w:t>
      </w:r>
    </w:p>
    <w:p w:rsidR="00BF612A" w:rsidRDefault="003E52AB">
      <w:pPr>
        <w:pStyle w:val="Zkladntext"/>
        <w:spacing w:before="33" w:line="280" w:lineRule="auto"/>
        <w:ind w:right="1859"/>
      </w:pPr>
      <w:r>
        <w:t xml:space="preserve">Nařízení (ES) č. 1272/2008 o klasifikaci, označování a balení látek a směsí Odvozená úroveň, při které nedochází k nepříznivým </w:t>
      </w:r>
      <w:proofErr w:type="gramStart"/>
      <w:r>
        <w:t>účinkům  Koncentrace</w:t>
      </w:r>
      <w:proofErr w:type="gramEnd"/>
      <w:r>
        <w:t xml:space="preserve"> látky, při které je zasaženo 50%</w:t>
      </w:r>
      <w:r>
        <w:rPr>
          <w:spacing w:val="20"/>
        </w:rPr>
        <w:t xml:space="preserve"> </w:t>
      </w:r>
      <w:r>
        <w:t>populace</w:t>
      </w:r>
    </w:p>
    <w:p w:rsidR="00BF612A" w:rsidRDefault="003E52AB">
      <w:pPr>
        <w:pStyle w:val="Zkladntext"/>
        <w:spacing w:line="280" w:lineRule="auto"/>
        <w:ind w:right="2333"/>
      </w:pPr>
      <w:r>
        <w:t>Evropský seznam existujících obchodovaných chemických látek Pohotovostní plán</w:t>
      </w:r>
    </w:p>
    <w:p w:rsidR="00BF612A" w:rsidRDefault="003E52AB">
      <w:pPr>
        <w:pStyle w:val="Zkladntext"/>
        <w:spacing w:line="280" w:lineRule="auto"/>
        <w:ind w:right="3057"/>
      </w:pPr>
      <w:r>
        <w:t>Číslo ES je číselný identifikátor látek na seznamu ES Evropská unie</w:t>
      </w:r>
    </w:p>
    <w:p w:rsidR="00BF612A" w:rsidRDefault="003E52AB">
      <w:pPr>
        <w:pStyle w:val="Zkladntext"/>
      </w:pPr>
      <w:r>
        <w:t>Mezinárodní asociace leteckých dopravců</w:t>
      </w:r>
    </w:p>
    <w:p w:rsidR="00BF612A" w:rsidRDefault="003E52AB">
      <w:pPr>
        <w:pStyle w:val="Zkladntext"/>
        <w:spacing w:before="33"/>
        <w:ind w:right="569"/>
      </w:pPr>
      <w:r>
        <w:t>Mezinárodní předpis pro stavbu a vybavení lodí hromadně přepravujících nebezpečné chemikálie</w:t>
      </w:r>
    </w:p>
    <w:p w:rsidR="00BF612A" w:rsidRDefault="003E52AB">
      <w:pPr>
        <w:pStyle w:val="Zkladntext"/>
        <w:spacing w:before="31" w:line="280" w:lineRule="auto"/>
        <w:ind w:right="4122"/>
      </w:pPr>
      <w:r>
        <w:t>Koncentrace působící 50% blokádu Mezinárodní organizace pro civilní letectví</w:t>
      </w:r>
    </w:p>
    <w:p w:rsidR="00BF612A" w:rsidRDefault="003E52AB">
      <w:pPr>
        <w:pStyle w:val="Zkladntext"/>
        <w:spacing w:line="280" w:lineRule="auto"/>
        <w:ind w:right="3737"/>
      </w:pPr>
      <w:r>
        <w:t>Mezinárodní námořní přeprava nebezpečného zboží Mezinárodní nomenklatura kosmetických přísad Mezinárodní organizace pro normalizaci Mezinárodní unie pro čistou a užitou</w:t>
      </w:r>
      <w:r>
        <w:rPr>
          <w:spacing w:val="15"/>
        </w:rPr>
        <w:t xml:space="preserve"> </w:t>
      </w:r>
      <w:r>
        <w:t>chemii</w:t>
      </w:r>
    </w:p>
    <w:p w:rsidR="00BF612A" w:rsidRDefault="003E52AB">
      <w:pPr>
        <w:pStyle w:val="Zkladntext"/>
        <w:spacing w:line="280" w:lineRule="auto"/>
        <w:ind w:right="1120"/>
      </w:pPr>
      <w:r>
        <w:t>Smrtelná koncentrace látky, při které lze očekávat, že způsobí smrt 50% populace Smrtelná dávka látky, při které lze očekávat, že způsobí smrt 50% populace Nejnižší koncentrace s pozorovaným nepříznivým účinkem</w:t>
      </w:r>
    </w:p>
    <w:p w:rsidR="00BF612A" w:rsidRDefault="003E52AB">
      <w:pPr>
        <w:pStyle w:val="Zkladntext"/>
        <w:spacing w:line="280" w:lineRule="auto"/>
        <w:ind w:right="3651"/>
      </w:pPr>
      <w:r>
        <w:t>Nejnižší dávka s pozorovaným nepříznivým účinkem Oktanol-voda rozdělovací koeficient</w:t>
      </w:r>
    </w:p>
    <w:p w:rsidR="00BF612A" w:rsidRDefault="003E52AB">
      <w:pPr>
        <w:pStyle w:val="Zkladntext"/>
        <w:spacing w:line="280" w:lineRule="auto"/>
        <w:ind w:right="3057"/>
      </w:pPr>
      <w:r>
        <w:t>Mezinárodní úmluva o zabránění znečišťování z lodí Koncentrace bez pozorovaného nepříznivého účinku Hodnota dávky bez pozorovaného nepříznivého účinku Koncentrace bez pozorovaných účinků</w:t>
      </w:r>
    </w:p>
    <w:p w:rsidR="00BF612A" w:rsidRDefault="003E52AB">
      <w:pPr>
        <w:pStyle w:val="Zkladntext"/>
        <w:spacing w:line="280" w:lineRule="auto"/>
        <w:ind w:right="4558"/>
      </w:pPr>
      <w:r>
        <w:t xml:space="preserve">Hodnota dávky bez pozorovaného účinku </w:t>
      </w:r>
      <w:proofErr w:type="gramStart"/>
      <w:r>
        <w:t>Nejvyšší  přípustná</w:t>
      </w:r>
      <w:proofErr w:type="gramEnd"/>
      <w:r>
        <w:t xml:space="preserve">  koncentrace Expoziční limity na pracovišti Perzistentní, bioakumulativní a toxický Přípustný expoziční</w:t>
      </w:r>
      <w:r>
        <w:rPr>
          <w:spacing w:val="9"/>
        </w:rPr>
        <w:t xml:space="preserve"> </w:t>
      </w:r>
      <w:r>
        <w:t>limit</w:t>
      </w:r>
    </w:p>
    <w:p w:rsidR="00BF612A" w:rsidRDefault="003E52AB">
      <w:pPr>
        <w:pStyle w:val="Zkladntext"/>
        <w:spacing w:line="280" w:lineRule="auto"/>
        <w:ind w:right="2333"/>
      </w:pPr>
      <w:r>
        <w:t>Odhad koncentrace, při které nedochází k nepříznivým účinkům Počet částic na milion (miliontina)</w:t>
      </w:r>
    </w:p>
    <w:p w:rsidR="00BF612A" w:rsidRDefault="003E52AB">
      <w:pPr>
        <w:pStyle w:val="Zkladntext"/>
        <w:spacing w:line="280" w:lineRule="auto"/>
        <w:ind w:right="2333"/>
      </w:pPr>
      <w:r>
        <w:t>Registrace, hodnocení, povolování a omezování chemických látek Dohoda o přepravě nebezpečných věcí po železnici</w:t>
      </w:r>
    </w:p>
    <w:p w:rsidR="00BF612A" w:rsidRDefault="003E52AB">
      <w:pPr>
        <w:pStyle w:val="Zkladntext"/>
        <w:spacing w:line="261" w:lineRule="auto"/>
        <w:ind w:right="569"/>
      </w:pPr>
      <w:r>
        <w:t>Čtyřmístné identifikační číslo látky nebo předmětu převzaté ze Vzorových předpisů OSN Látka s neznámým nebo proměnlivým složením, komplexní reakční produkt nebo biologický materiál</w:t>
      </w:r>
    </w:p>
    <w:p w:rsidR="00BF612A" w:rsidRDefault="003E52AB">
      <w:pPr>
        <w:pStyle w:val="Zkladntext"/>
        <w:spacing w:before="13"/>
      </w:pPr>
      <w:r>
        <w:t>Těkavé organické sloučeniny</w:t>
      </w:r>
    </w:p>
    <w:p w:rsidR="00BF612A" w:rsidRDefault="003E52AB">
      <w:pPr>
        <w:pStyle w:val="Zkladntext"/>
        <w:spacing w:before="32"/>
      </w:pPr>
      <w:r>
        <w:t>Vysoce perzistentní a vysoce bioakumulativní</w:t>
      </w:r>
    </w:p>
    <w:p w:rsidR="00BF612A" w:rsidRDefault="00BF612A">
      <w:pPr>
        <w:sectPr w:rsidR="00BF612A">
          <w:type w:val="continuous"/>
          <w:pgSz w:w="11900" w:h="16840"/>
          <w:pgMar w:top="860" w:right="700" w:bottom="1520" w:left="720" w:header="708" w:footer="708" w:gutter="0"/>
          <w:cols w:num="2" w:space="708" w:equalWidth="0">
            <w:col w:w="1458" w:space="343"/>
            <w:col w:w="8679"/>
          </w:cols>
        </w:sectPr>
      </w:pPr>
    </w:p>
    <w:p w:rsidR="00BF612A" w:rsidRDefault="00BF612A">
      <w:pPr>
        <w:pStyle w:val="Zkladntext"/>
        <w:spacing w:before="1"/>
        <w:ind w:left="0"/>
        <w:rPr>
          <w:sz w:val="13"/>
        </w:rPr>
      </w:pPr>
    </w:p>
    <w:p w:rsidR="00BF612A" w:rsidRDefault="00BF612A">
      <w:pPr>
        <w:rPr>
          <w:sz w:val="13"/>
        </w:rPr>
        <w:sectPr w:rsidR="00BF612A">
          <w:type w:val="continuous"/>
          <w:pgSz w:w="11900" w:h="16840"/>
          <w:pgMar w:top="860" w:right="700" w:bottom="1520" w:left="720" w:header="708" w:footer="708" w:gutter="0"/>
          <w:cols w:space="708"/>
        </w:sectPr>
      </w:pPr>
    </w:p>
    <w:p w:rsidR="00BF612A" w:rsidRDefault="003E52AB">
      <w:pPr>
        <w:pStyle w:val="Zkladntext"/>
        <w:spacing w:before="101"/>
      </w:pPr>
      <w:r>
        <w:t>Asp. Tox.</w:t>
      </w:r>
    </w:p>
    <w:p w:rsidR="00BF612A" w:rsidRDefault="003E52AB">
      <w:pPr>
        <w:pStyle w:val="Nadpis4"/>
        <w:spacing w:before="49"/>
      </w:pPr>
      <w:r>
        <w:t>Pokyny pro školení</w:t>
      </w:r>
    </w:p>
    <w:p w:rsidR="00BF612A" w:rsidRDefault="003E52AB">
      <w:pPr>
        <w:pStyle w:val="Zkladntext"/>
        <w:spacing w:before="101"/>
        <w:ind w:left="44"/>
      </w:pPr>
      <w:r>
        <w:br w:type="column"/>
      </w:r>
      <w:r>
        <w:t>Nebezpečnost při vdechnutí</w:t>
      </w:r>
    </w:p>
    <w:p w:rsidR="00BF612A" w:rsidRDefault="00BF612A">
      <w:pPr>
        <w:sectPr w:rsidR="00BF612A" w:rsidSect="003E52AB">
          <w:type w:val="continuous"/>
          <w:pgSz w:w="11900" w:h="16840"/>
          <w:pgMar w:top="860" w:right="700" w:bottom="1520" w:left="720" w:header="850" w:footer="397" w:gutter="0"/>
          <w:cols w:num="2" w:space="708" w:equalWidth="0">
            <w:col w:w="2506" w:space="40"/>
            <w:col w:w="7934"/>
          </w:cols>
          <w:docGrid w:linePitch="299"/>
        </w:sectPr>
      </w:pPr>
    </w:p>
    <w:p w:rsidR="00BF612A" w:rsidRDefault="003E52AB">
      <w:pPr>
        <w:pStyle w:val="Zkladntext"/>
        <w:spacing w:before="17" w:line="242" w:lineRule="auto"/>
        <w:ind w:right="238"/>
      </w:pPr>
      <w:r>
        <w:t xml:space="preserve">Seznámit pracovníky s doporučeným způsobem použití, povinnými ochrannými prostředky, první pomocí </w:t>
      </w:r>
      <w:proofErr w:type="gramStart"/>
      <w:r>
        <w:t>a  zakázanými</w:t>
      </w:r>
      <w:proofErr w:type="gramEnd"/>
      <w:r>
        <w:t xml:space="preserve"> manipulacemi se</w:t>
      </w:r>
      <w:r>
        <w:rPr>
          <w:spacing w:val="13"/>
        </w:rPr>
        <w:t xml:space="preserve"> </w:t>
      </w:r>
      <w:r>
        <w:t>směsí.</w:t>
      </w:r>
    </w:p>
    <w:p w:rsidR="00BF612A" w:rsidRDefault="003E52AB">
      <w:pPr>
        <w:pStyle w:val="Nadpis4"/>
        <w:spacing w:before="44"/>
      </w:pPr>
      <w:r>
        <w:t>Doporučená omezení použití</w:t>
      </w:r>
    </w:p>
    <w:p w:rsidR="00BF612A" w:rsidRDefault="003E52AB">
      <w:pPr>
        <w:pStyle w:val="Zkladntext"/>
        <w:spacing w:before="20"/>
      </w:pPr>
      <w:r>
        <w:t>neuvedeno</w:t>
      </w:r>
    </w:p>
    <w:p w:rsidR="00BF612A" w:rsidRDefault="003E52AB">
      <w:pPr>
        <w:pStyle w:val="Nadpis4"/>
        <w:spacing w:before="51"/>
      </w:pPr>
      <w:r>
        <w:t>Informace o zdrojích údajů použitých při sestavování bezpečnostního listu</w:t>
      </w:r>
    </w:p>
    <w:p w:rsidR="00BF612A" w:rsidRDefault="00BF612A">
      <w:pPr>
        <w:sectPr w:rsidR="00BF612A">
          <w:type w:val="continuous"/>
          <w:pgSz w:w="11900" w:h="16840"/>
          <w:pgMar w:top="860" w:right="700" w:bottom="1520" w:left="720" w:header="708" w:footer="708" w:gutter="0"/>
          <w:cols w:space="708"/>
        </w:sectPr>
      </w:pPr>
    </w:p>
    <w:p w:rsidR="00BF612A" w:rsidRDefault="003E52AB">
      <w:pPr>
        <w:pStyle w:val="Zkladntext"/>
        <w:spacing w:before="55"/>
        <w:ind w:right="120"/>
        <w:jc w:val="both"/>
      </w:pPr>
      <w:r>
        <w:lastRenderedPageBreak/>
        <w:pict>
          <v:line id="_x0000_s1058" style="position:absolute;left:0;text-align:left;z-index:251662848;mso-wrap-distance-left:0;mso-wrap-distance-right:0;mso-position-horizontal-relative:page" from="41.4pt,68.25pt" to="553.9pt,68.25pt" strokeweight=".266mm">
            <w10:wrap type="topAndBottom" anchorx="page"/>
          </v:line>
        </w:pict>
      </w:r>
      <w:r>
        <w:t>Nařízení Evropského parlamentu a Rady (ES) č. 1907/2006 (REACH) v platném znění. Nařízení Evropského parlamentu a Rady (ES) č. 1272/2008 v platném znění. Zákon č. 350/2011 Sb., o chemických látkách a chemických směsích v platném znění. Zásady pro poskytování první pomoci při expozici chemickým látkám (doc. MUDr. Daniela Pelclová, CSc., MUDr. Alexandr Fuchs, CSc., MUDr. Miroslava Hornychová, CSc., MUDr. Zdeňka Trávníčková, CSc., Jiřina Fridrichovská, prom. chem.). Údaje od výrobce látky/směsi, pokud jsou k dispozici - údaje z registrační dokumentace.</w:t>
      </w:r>
    </w:p>
    <w:p w:rsidR="00BF612A" w:rsidRDefault="00BF612A">
      <w:pPr>
        <w:pStyle w:val="Zkladntext"/>
        <w:spacing w:before="9"/>
        <w:ind w:left="0"/>
        <w:rPr>
          <w:sz w:val="18"/>
        </w:rPr>
      </w:pPr>
    </w:p>
    <w:p w:rsidR="00BF612A" w:rsidRDefault="003E52AB">
      <w:pPr>
        <w:pStyle w:val="Nadpis4"/>
        <w:ind w:left="136"/>
      </w:pPr>
      <w:r>
        <w:t>Prohlášení</w:t>
      </w:r>
    </w:p>
    <w:p w:rsidR="00BF612A" w:rsidRDefault="003E52AB">
      <w:pPr>
        <w:pStyle w:val="Zkladntext"/>
        <w:spacing w:before="19"/>
        <w:ind w:right="120"/>
        <w:jc w:val="both"/>
      </w:pPr>
      <w:r>
        <w:pict>
          <v:line id="_x0000_s1057" style="position:absolute;left:0;text-align:left;z-index:251663872;mso-wrap-distance-left:0;mso-wrap-distance-right:0;mso-position-horizontal-relative:page" from="41.4pt,76.15pt" to="553.9pt,76.15pt" strokeweight=".266mm">
            <w10:wrap type="topAndBottom" anchorx="page"/>
          </v:line>
        </w:pict>
      </w:r>
      <w:r>
        <w:t>Bezpečnostní list obsahuje údaje potřebné pro zajištění bezpečnosti a ochrany při práci a ochrany životního prostředí. Uvedené údaje odpovídají současnému stavu našich vědomostí a zkušeností a jsou v souladu s předpisy platnými ke dni poslední revize. Bude doplňován v souvislosti s postupem plnění nařízení 1907/2006/ES a údaji dodavatelů. Informace a doporučení byly sestaveny dle našich poznatků, dle poznatků našich dodavatelů, na základě testů provedených specializovanými institucemi a s využitím výsledků publikovaných v odborné literatuře. Přesto údaje nemusí být zcela vyčerpávající. Údaje zde obsažené nemohou být považovány za záruku vhodnosti a použitelnosti výrobku pro konkrétní aplikaci. Údaje nejsou jakostní specifikací výrobku.</w:t>
      </w:r>
    </w:p>
    <w:p w:rsidR="00BF612A" w:rsidRDefault="00BF612A">
      <w:pPr>
        <w:jc w:val="both"/>
        <w:sectPr w:rsidR="00BF612A" w:rsidSect="003E52AB">
          <w:pgSz w:w="11900" w:h="16840"/>
          <w:pgMar w:top="860" w:right="700" w:bottom="1520" w:left="720" w:header="850" w:footer="397" w:gutter="0"/>
          <w:cols w:space="708"/>
          <w:docGrid w:linePitch="299"/>
        </w:sectPr>
      </w:pPr>
    </w:p>
    <w:p w:rsidR="00BF612A" w:rsidRDefault="00BF612A">
      <w:pPr>
        <w:pStyle w:val="Zkladntext"/>
        <w:ind w:left="0"/>
        <w:rPr>
          <w:rFonts w:ascii="Arial"/>
          <w:sz w:val="20"/>
        </w:rPr>
      </w:pPr>
    </w:p>
    <w:p w:rsidR="00BF612A" w:rsidRDefault="003E52AB">
      <w:pPr>
        <w:pStyle w:val="Zkladntext"/>
        <w:spacing w:before="3"/>
        <w:ind w:left="0"/>
        <w:rPr>
          <w:rFonts w:ascii="Arial"/>
        </w:rPr>
      </w:pPr>
      <w:r>
        <w:pict>
          <v:shape id="_x0000_s1046" type="#_x0000_t202" style="position:absolute;margin-left:45.35pt;margin-top:11.7pt;width:524.55pt;height:24.15pt;z-index:251665920;mso-wrap-distance-left:0;mso-wrap-distance-right:0;mso-position-horizontal-relative:page" fillcolor="#e7e7e7" strokeweight=".72pt">
            <v:textbox inset="0,0,0,0">
              <w:txbxContent>
                <w:p w:rsidR="003E52AB" w:rsidRDefault="003E52AB">
                  <w:pPr>
                    <w:spacing w:before="117"/>
                    <w:ind w:left="7"/>
                    <w:rPr>
                      <w:rFonts w:ascii="Arial" w:hAnsi="Arial"/>
                      <w:b/>
                      <w:sz w:val="20"/>
                    </w:rPr>
                  </w:pPr>
                  <w:r>
                    <w:rPr>
                      <w:rFonts w:ascii="Arial" w:hAnsi="Arial"/>
                      <w:b/>
                      <w:sz w:val="20"/>
                    </w:rPr>
                    <w:t>PŘÍLOHA – Expoziční scénáře</w:t>
                  </w:r>
                </w:p>
              </w:txbxContent>
            </v:textbox>
            <w10:wrap type="topAndBottom" anchorx="page"/>
          </v:shape>
        </w:pict>
      </w:r>
    </w:p>
    <w:p w:rsidR="00BF612A" w:rsidRDefault="00BF612A">
      <w:pPr>
        <w:pStyle w:val="Zkladntext"/>
        <w:spacing w:before="2"/>
        <w:ind w:left="0"/>
        <w:rPr>
          <w:rFonts w:ascii="Arial"/>
          <w:sz w:val="29"/>
        </w:rPr>
      </w:pPr>
    </w:p>
    <w:p w:rsidR="00BF612A" w:rsidRDefault="003E52AB">
      <w:pPr>
        <w:spacing w:before="92" w:line="229" w:lineRule="exact"/>
        <w:ind w:left="107"/>
        <w:rPr>
          <w:rFonts w:ascii="Arial" w:hAnsi="Arial"/>
          <w:b/>
          <w:sz w:val="20"/>
        </w:rPr>
      </w:pPr>
      <w:r>
        <w:rPr>
          <w:rFonts w:ascii="Arial" w:hAnsi="Arial"/>
          <w:b/>
          <w:sz w:val="20"/>
          <w:u w:val="thick"/>
        </w:rPr>
        <w:t>URČENÉ ZPŮSOBY POUŽITÍ:</w:t>
      </w:r>
    </w:p>
    <w:p w:rsidR="00BF612A" w:rsidRDefault="003E52AB">
      <w:pPr>
        <w:pStyle w:val="Nadpis2"/>
        <w:spacing w:line="229" w:lineRule="exact"/>
      </w:pPr>
      <w:r>
        <w:rPr>
          <w:b/>
        </w:rPr>
        <w:t xml:space="preserve">ES 1: </w:t>
      </w:r>
      <w:r>
        <w:t>Použití jako palivo - spotřební (PC13, SU21)</w:t>
      </w:r>
    </w:p>
    <w:p w:rsidR="00BF612A" w:rsidRDefault="003E52AB">
      <w:pPr>
        <w:spacing w:before="1"/>
        <w:ind w:left="107"/>
        <w:rPr>
          <w:rFonts w:ascii="Arial" w:hAnsi="Arial"/>
          <w:sz w:val="20"/>
        </w:rPr>
      </w:pPr>
      <w:r>
        <w:rPr>
          <w:rFonts w:ascii="Arial" w:hAnsi="Arial"/>
          <w:b/>
          <w:sz w:val="20"/>
        </w:rPr>
        <w:t xml:space="preserve">ES 2: </w:t>
      </w:r>
      <w:r>
        <w:rPr>
          <w:rFonts w:ascii="Arial" w:hAnsi="Arial"/>
          <w:sz w:val="20"/>
        </w:rPr>
        <w:t>P</w:t>
      </w:r>
      <w:bookmarkStart w:id="16" w:name="_GoBack"/>
      <w:bookmarkEnd w:id="16"/>
      <w:r>
        <w:rPr>
          <w:rFonts w:ascii="Arial" w:hAnsi="Arial"/>
          <w:sz w:val="20"/>
        </w:rPr>
        <w:t>oužití jako palivo - odborné (PROC1, PROC16, PROC2, PROC3, PROC8a, PROC8b, SU22)</w:t>
      </w:r>
    </w:p>
    <w:p w:rsidR="00BF612A" w:rsidRDefault="00BF612A">
      <w:pPr>
        <w:rPr>
          <w:rFonts w:ascii="Arial" w:hAnsi="Arial"/>
          <w:sz w:val="20"/>
        </w:rPr>
        <w:sectPr w:rsidR="00BF612A" w:rsidSect="00863658">
          <w:footerReference w:type="default" r:id="rId13"/>
          <w:pgSz w:w="12240" w:h="15840"/>
          <w:pgMar w:top="840" w:right="740" w:bottom="280" w:left="800" w:header="850" w:footer="397" w:gutter="0"/>
          <w:cols w:space="708"/>
          <w:docGrid w:linePitch="299"/>
        </w:sect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82"/>
        <w:gridCol w:w="5307"/>
      </w:tblGrid>
      <w:tr w:rsidR="00BF612A">
        <w:trPr>
          <w:trHeight w:hRule="exact" w:val="245"/>
        </w:trPr>
        <w:tc>
          <w:tcPr>
            <w:tcW w:w="10589" w:type="dxa"/>
            <w:gridSpan w:val="2"/>
            <w:shd w:val="clear" w:color="auto" w:fill="C1C1C1"/>
          </w:tcPr>
          <w:p w:rsidR="00BF612A" w:rsidRDefault="003E52AB">
            <w:pPr>
              <w:pStyle w:val="TableParagraph"/>
              <w:spacing w:line="227" w:lineRule="exact"/>
              <w:rPr>
                <w:b/>
                <w:sz w:val="20"/>
              </w:rPr>
            </w:pPr>
            <w:r>
              <w:rPr>
                <w:b/>
                <w:sz w:val="20"/>
              </w:rPr>
              <w:lastRenderedPageBreak/>
              <w:t>Oddíl 1 Název scénáře expozice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Název:</w:t>
            </w:r>
          </w:p>
        </w:tc>
      </w:tr>
      <w:tr w:rsidR="00BF612A">
        <w:trPr>
          <w:trHeight w:hRule="exact" w:val="245"/>
        </w:trPr>
        <w:tc>
          <w:tcPr>
            <w:tcW w:w="10589" w:type="dxa"/>
            <w:gridSpan w:val="2"/>
            <w:shd w:val="clear" w:color="auto" w:fill="FFFF00"/>
          </w:tcPr>
          <w:p w:rsidR="00BF612A" w:rsidRDefault="003E52AB">
            <w:pPr>
              <w:pStyle w:val="TableParagraph"/>
              <w:spacing w:line="230" w:lineRule="exact"/>
              <w:rPr>
                <w:sz w:val="20"/>
              </w:rPr>
            </w:pPr>
            <w:r>
              <w:rPr>
                <w:sz w:val="20"/>
              </w:rPr>
              <w:t>ES 1: Použití jako palivo - spotřební</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deskriptor použití</w:t>
            </w:r>
          </w:p>
        </w:tc>
      </w:tr>
      <w:tr w:rsidR="00BF612A" w:rsidTr="003E52AB">
        <w:trPr>
          <w:trHeight w:hRule="exact" w:val="245"/>
        </w:trPr>
        <w:tc>
          <w:tcPr>
            <w:tcW w:w="5282" w:type="dxa"/>
          </w:tcPr>
          <w:p w:rsidR="00BF612A" w:rsidRDefault="003E52AB">
            <w:pPr>
              <w:pStyle w:val="TableParagraph"/>
              <w:spacing w:line="230" w:lineRule="exact"/>
              <w:rPr>
                <w:sz w:val="20"/>
              </w:rPr>
            </w:pPr>
            <w:r>
              <w:rPr>
                <w:sz w:val="20"/>
              </w:rPr>
              <w:t>sektor(y) použití</w:t>
            </w:r>
          </w:p>
        </w:tc>
        <w:tc>
          <w:tcPr>
            <w:tcW w:w="5307" w:type="dxa"/>
          </w:tcPr>
          <w:p w:rsidR="00BF612A" w:rsidRDefault="003E52AB">
            <w:pPr>
              <w:pStyle w:val="TableParagraph"/>
              <w:spacing w:line="230" w:lineRule="exact"/>
              <w:rPr>
                <w:sz w:val="20"/>
              </w:rPr>
            </w:pPr>
            <w:r>
              <w:rPr>
                <w:sz w:val="20"/>
              </w:rPr>
              <w:t>SU21</w:t>
            </w:r>
          </w:p>
        </w:tc>
      </w:tr>
      <w:tr w:rsidR="00BF612A" w:rsidTr="003E52AB">
        <w:trPr>
          <w:trHeight w:hRule="exact" w:val="245"/>
        </w:trPr>
        <w:tc>
          <w:tcPr>
            <w:tcW w:w="5282" w:type="dxa"/>
          </w:tcPr>
          <w:p w:rsidR="00BF612A" w:rsidRDefault="003E52AB">
            <w:pPr>
              <w:pStyle w:val="TableParagraph"/>
              <w:spacing w:line="230" w:lineRule="exact"/>
              <w:rPr>
                <w:sz w:val="20"/>
              </w:rPr>
            </w:pPr>
            <w:r>
              <w:rPr>
                <w:sz w:val="20"/>
              </w:rPr>
              <w:t>Kategorie produktů</w:t>
            </w:r>
          </w:p>
        </w:tc>
        <w:tc>
          <w:tcPr>
            <w:tcW w:w="5307" w:type="dxa"/>
          </w:tcPr>
          <w:p w:rsidR="00BF612A" w:rsidRDefault="003E52AB">
            <w:pPr>
              <w:pStyle w:val="TableParagraph"/>
              <w:spacing w:line="230" w:lineRule="exact"/>
              <w:rPr>
                <w:sz w:val="20"/>
              </w:rPr>
            </w:pPr>
            <w:r>
              <w:rPr>
                <w:sz w:val="20"/>
              </w:rPr>
              <w:t>PC13</w:t>
            </w:r>
          </w:p>
        </w:tc>
      </w:tr>
      <w:tr w:rsidR="00BF612A" w:rsidTr="003E52AB">
        <w:trPr>
          <w:trHeight w:hRule="exact" w:val="245"/>
        </w:trPr>
        <w:tc>
          <w:tcPr>
            <w:tcW w:w="5282" w:type="dxa"/>
          </w:tcPr>
          <w:p w:rsidR="00BF612A" w:rsidRDefault="003E52AB">
            <w:pPr>
              <w:pStyle w:val="TableParagraph"/>
              <w:spacing w:line="230" w:lineRule="exact"/>
              <w:rPr>
                <w:sz w:val="20"/>
              </w:rPr>
            </w:pPr>
            <w:r>
              <w:rPr>
                <w:sz w:val="20"/>
              </w:rPr>
              <w:t>Kategorie uvolňování do prostředí</w:t>
            </w:r>
          </w:p>
        </w:tc>
        <w:tc>
          <w:tcPr>
            <w:tcW w:w="5307" w:type="dxa"/>
          </w:tcPr>
          <w:p w:rsidR="00BF612A" w:rsidRDefault="003E52AB">
            <w:pPr>
              <w:pStyle w:val="TableParagraph"/>
              <w:spacing w:line="230" w:lineRule="exact"/>
              <w:rPr>
                <w:sz w:val="20"/>
              </w:rPr>
            </w:pPr>
            <w:r>
              <w:rPr>
                <w:sz w:val="20"/>
              </w:rPr>
              <w:t>ERC9A, ERC9B</w:t>
            </w:r>
          </w:p>
        </w:tc>
      </w:tr>
      <w:tr w:rsidR="00BF612A" w:rsidTr="003E52AB">
        <w:trPr>
          <w:trHeight w:hRule="exact" w:val="245"/>
        </w:trPr>
        <w:tc>
          <w:tcPr>
            <w:tcW w:w="5282" w:type="dxa"/>
          </w:tcPr>
          <w:p w:rsidR="00BF612A" w:rsidRDefault="003E52AB">
            <w:pPr>
              <w:pStyle w:val="TableParagraph"/>
              <w:spacing w:line="230" w:lineRule="exact"/>
              <w:rPr>
                <w:sz w:val="20"/>
              </w:rPr>
            </w:pPr>
            <w:r>
              <w:rPr>
                <w:sz w:val="20"/>
              </w:rPr>
              <w:t>Specifická kategorie uvolňování do životního prostředí</w:t>
            </w:r>
          </w:p>
        </w:tc>
        <w:tc>
          <w:tcPr>
            <w:tcW w:w="5307" w:type="dxa"/>
          </w:tcPr>
          <w:p w:rsidR="00BF612A" w:rsidRDefault="00BF612A"/>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Zohledňující procesy, úkoly, činnosti</w:t>
            </w:r>
          </w:p>
        </w:tc>
      </w:tr>
      <w:tr w:rsidR="00BF612A">
        <w:trPr>
          <w:trHeight w:hRule="exact" w:val="246"/>
        </w:trPr>
        <w:tc>
          <w:tcPr>
            <w:tcW w:w="10589" w:type="dxa"/>
            <w:gridSpan w:val="2"/>
          </w:tcPr>
          <w:p w:rsidR="00BF612A" w:rsidRDefault="003E52AB">
            <w:pPr>
              <w:pStyle w:val="TableParagraph"/>
              <w:spacing w:line="230" w:lineRule="exact"/>
              <w:rPr>
                <w:sz w:val="20"/>
              </w:rPr>
            </w:pPr>
            <w:r>
              <w:rPr>
                <w:sz w:val="20"/>
              </w:rPr>
              <w:t>Zahrnuje spotřební využití v tekutém palivu.</w:t>
            </w:r>
          </w:p>
        </w:tc>
      </w:tr>
      <w:tr w:rsidR="00BF612A">
        <w:trPr>
          <w:trHeight w:hRule="exact" w:val="246"/>
        </w:trPr>
        <w:tc>
          <w:tcPr>
            <w:tcW w:w="10589" w:type="dxa"/>
            <w:gridSpan w:val="2"/>
            <w:shd w:val="clear" w:color="auto" w:fill="C1C1C1"/>
          </w:tcPr>
          <w:p w:rsidR="00BF612A" w:rsidRDefault="003E52AB">
            <w:pPr>
              <w:pStyle w:val="TableParagraph"/>
              <w:spacing w:line="228" w:lineRule="exact"/>
              <w:rPr>
                <w:b/>
                <w:sz w:val="20"/>
              </w:rPr>
            </w:pPr>
            <w:r>
              <w:rPr>
                <w:b/>
                <w:sz w:val="20"/>
              </w:rPr>
              <w:t>Oddíl 2 Provozní podmínky a opatření pro řízení rizik</w:t>
            </w:r>
          </w:p>
        </w:tc>
      </w:tr>
      <w:tr w:rsidR="00BF612A">
        <w:trPr>
          <w:trHeight w:hRule="exact" w:val="245"/>
        </w:trPr>
        <w:tc>
          <w:tcPr>
            <w:tcW w:w="10589" w:type="dxa"/>
            <w:gridSpan w:val="2"/>
            <w:shd w:val="clear" w:color="auto" w:fill="C1C1C1"/>
          </w:tcPr>
          <w:p w:rsidR="00BF612A" w:rsidRDefault="003E52AB">
            <w:pPr>
              <w:pStyle w:val="TableParagraph"/>
              <w:spacing w:line="227" w:lineRule="exact"/>
              <w:rPr>
                <w:b/>
                <w:sz w:val="20"/>
              </w:rPr>
            </w:pPr>
            <w:r>
              <w:rPr>
                <w:b/>
                <w:sz w:val="20"/>
              </w:rPr>
              <w:t xml:space="preserve">Oddíl </w:t>
            </w:r>
            <w:proofErr w:type="gramStart"/>
            <w:r>
              <w:rPr>
                <w:b/>
                <w:sz w:val="20"/>
              </w:rPr>
              <w:t>2.1  Omezování</w:t>
            </w:r>
            <w:proofErr w:type="gramEnd"/>
            <w:r>
              <w:rPr>
                <w:b/>
                <w:sz w:val="20"/>
              </w:rPr>
              <w:t xml:space="preserve"> expozice pracovníků</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Vlastnosti produktu</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kapalina</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Délka, frekvence a množství</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Jiné dané provozní podmínky ovlivňující expozici spotřebitele</w:t>
            </w:r>
          </w:p>
        </w:tc>
      </w:tr>
      <w:tr w:rsidR="00BF612A">
        <w:trPr>
          <w:trHeight w:hRule="exact" w:val="2086"/>
        </w:trPr>
        <w:tc>
          <w:tcPr>
            <w:tcW w:w="10589" w:type="dxa"/>
            <w:gridSpan w:val="2"/>
          </w:tcPr>
          <w:p w:rsidR="00BF612A" w:rsidRDefault="003E52AB">
            <w:pPr>
              <w:pStyle w:val="TableParagraph"/>
              <w:ind w:right="652"/>
              <w:rPr>
                <w:sz w:val="20"/>
              </w:rPr>
            </w:pPr>
            <w:r>
              <w:rPr>
                <w:sz w:val="20"/>
              </w:rPr>
              <w:t>Všeobecná opatření (Nebezpečí vdechnutí) Věta označující specifickou rizikovost H304 (Při požití a vniknutí do dýchacích cest může způsobit smrt) se týká možnosti vdechnutí, což je nekvantifikovatelné riziko definované fyzikálně-chemickými vlastnostmi (tj. viskozitou), které se může</w:t>
            </w:r>
          </w:p>
          <w:p w:rsidR="00BF612A" w:rsidRDefault="003E52AB">
            <w:pPr>
              <w:pStyle w:val="TableParagraph"/>
              <w:rPr>
                <w:sz w:val="20"/>
              </w:rPr>
            </w:pPr>
            <w:r>
              <w:rPr>
                <w:sz w:val="20"/>
              </w:rPr>
              <w:t>vyskytnout v průběhu požití a také v případě zvracení po požití. Hodnota DNEL nemůže být odvozena. Nebezpečnost plynoucí z fyzikálně-chemických rizik látky může být kontrolována zavedením opatření pro snížení rizik.  Pro</w:t>
            </w:r>
          </w:p>
          <w:p w:rsidR="00BF612A" w:rsidRDefault="003E52AB">
            <w:pPr>
              <w:pStyle w:val="TableParagraph"/>
              <w:rPr>
                <w:sz w:val="20"/>
              </w:rPr>
            </w:pPr>
            <w:r>
              <w:rPr>
                <w:sz w:val="20"/>
              </w:rPr>
              <w:t>látky klasifikované jako H304 musí být pro účely kontroly nebezpečí vdechnutí zavedena následující opatření.</w:t>
            </w:r>
          </w:p>
          <w:p w:rsidR="00BF612A" w:rsidRDefault="003E52AB">
            <w:pPr>
              <w:pStyle w:val="TableParagraph"/>
              <w:rPr>
                <w:sz w:val="20"/>
              </w:rPr>
            </w:pPr>
            <w:r>
              <w:rPr>
                <w:sz w:val="20"/>
              </w:rPr>
              <w:t>Nepožívejte.  V případě požití vyhledejte okamžitě lékařskou pomoc. NEVYVOLÁVEJTE</w:t>
            </w:r>
          </w:p>
          <w:p w:rsidR="00BF612A" w:rsidRDefault="003E52AB">
            <w:pPr>
              <w:pStyle w:val="TableParagraph"/>
              <w:rPr>
                <w:sz w:val="20"/>
              </w:rPr>
            </w:pPr>
            <w:r>
              <w:rPr>
                <w:sz w:val="20"/>
              </w:rPr>
              <w:t>zvracení. Již malý doušek petroleje - nebo dokonce sání knotu lampy - může vést k život ohrožujícímu poškození plic. Udržujte lampy naplněné touto kapalinou mimo dosah dětí.</w:t>
            </w:r>
          </w:p>
        </w:tc>
      </w:tr>
      <w:tr w:rsidR="00BF612A">
        <w:trPr>
          <w:trHeight w:hRule="exact" w:val="475"/>
        </w:trPr>
        <w:tc>
          <w:tcPr>
            <w:tcW w:w="10589" w:type="dxa"/>
            <w:gridSpan w:val="2"/>
            <w:shd w:val="clear" w:color="auto" w:fill="C1C1C1"/>
          </w:tcPr>
          <w:p w:rsidR="00BF612A" w:rsidRDefault="003E52AB">
            <w:pPr>
              <w:pStyle w:val="TableParagraph"/>
              <w:spacing w:line="227" w:lineRule="exact"/>
              <w:rPr>
                <w:b/>
                <w:sz w:val="20"/>
              </w:rPr>
            </w:pPr>
            <w:r>
              <w:rPr>
                <w:b/>
                <w:sz w:val="20"/>
              </w:rPr>
              <w:t>Přispívající scénáře/Specifická opatření pro řízení rizik a provozní podmínky</w:t>
            </w:r>
          </w:p>
          <w:p w:rsidR="00BF612A" w:rsidRDefault="003E52AB">
            <w:pPr>
              <w:pStyle w:val="TableParagraph"/>
              <w:spacing w:before="3"/>
              <w:rPr>
                <w:sz w:val="20"/>
              </w:rPr>
            </w:pPr>
            <w:r>
              <w:rPr>
                <w:sz w:val="20"/>
              </w:rPr>
              <w:t>(jsou uvedeny pouze nutné kontroly prokazující bezpečné použití)</w:t>
            </w:r>
          </w:p>
        </w:tc>
      </w:tr>
      <w:tr w:rsidR="00BF612A">
        <w:trPr>
          <w:trHeight w:hRule="exact" w:val="245"/>
        </w:trPr>
        <w:tc>
          <w:tcPr>
            <w:tcW w:w="10589" w:type="dxa"/>
            <w:gridSpan w:val="2"/>
          </w:tcPr>
          <w:p w:rsidR="00BF612A" w:rsidRDefault="00BF612A"/>
        </w:tc>
      </w:tr>
      <w:tr w:rsidR="00BF612A">
        <w:trPr>
          <w:trHeight w:hRule="exact" w:val="245"/>
        </w:trPr>
        <w:tc>
          <w:tcPr>
            <w:tcW w:w="10589" w:type="dxa"/>
            <w:gridSpan w:val="2"/>
            <w:shd w:val="clear" w:color="auto" w:fill="C1C1C1"/>
          </w:tcPr>
          <w:p w:rsidR="00BF612A" w:rsidRDefault="003E52AB">
            <w:pPr>
              <w:pStyle w:val="TableParagraph"/>
              <w:spacing w:line="227" w:lineRule="exact"/>
              <w:rPr>
                <w:b/>
                <w:sz w:val="20"/>
              </w:rPr>
            </w:pPr>
            <w:r>
              <w:rPr>
                <w:b/>
                <w:sz w:val="20"/>
              </w:rPr>
              <w:t xml:space="preserve">Oddíl </w:t>
            </w:r>
            <w:proofErr w:type="gramStart"/>
            <w:r>
              <w:rPr>
                <w:b/>
                <w:sz w:val="20"/>
              </w:rPr>
              <w:t>2.2  Řízení</w:t>
            </w:r>
            <w:proofErr w:type="gramEnd"/>
            <w:r>
              <w:rPr>
                <w:b/>
                <w:sz w:val="20"/>
              </w:rPr>
              <w:t xml:space="preserve"> expozice životního prostředí</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Vlastnosti produktu</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Délka, frekvence a množství</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Ekologické faktory neovlivněné řízením rizik</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Další provozní podmínky týkající se expozice životního prostředí</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Podmínky a opatření ve věci komunálních čističek</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7"/>
        </w:trPr>
        <w:tc>
          <w:tcPr>
            <w:tcW w:w="10589" w:type="dxa"/>
            <w:gridSpan w:val="2"/>
          </w:tcPr>
          <w:p w:rsidR="00BF612A" w:rsidRDefault="003E52AB">
            <w:pPr>
              <w:pStyle w:val="TableParagraph"/>
              <w:spacing w:before="2"/>
              <w:rPr>
                <w:sz w:val="20"/>
              </w:rPr>
            </w:pPr>
            <w:r>
              <w:rPr>
                <w:sz w:val="20"/>
              </w:rPr>
              <w:t>Podmínky a opatření k externímu zpracování kanalizačního odpadu</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Podmínky a opatření k externímu zužitkování odpadu</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shd w:val="clear" w:color="auto" w:fill="C1C1C1"/>
          </w:tcPr>
          <w:p w:rsidR="00BF612A" w:rsidRDefault="003E52AB">
            <w:pPr>
              <w:pStyle w:val="TableParagraph"/>
              <w:spacing w:line="227" w:lineRule="exact"/>
              <w:rPr>
                <w:b/>
                <w:sz w:val="20"/>
              </w:rPr>
            </w:pPr>
            <w:r>
              <w:rPr>
                <w:b/>
                <w:sz w:val="20"/>
              </w:rPr>
              <w:t>Oddíl 3 Odhad expozice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3.1. Zdraví</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3.2. Životní prostředí</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shd w:val="clear" w:color="auto" w:fill="C1C1C1"/>
          </w:tcPr>
          <w:p w:rsidR="00BF612A" w:rsidRDefault="003E52AB">
            <w:pPr>
              <w:pStyle w:val="TableParagraph"/>
              <w:spacing w:line="227" w:lineRule="exact"/>
              <w:rPr>
                <w:b/>
                <w:sz w:val="20"/>
              </w:rPr>
            </w:pPr>
            <w:proofErr w:type="gramStart"/>
            <w:r>
              <w:rPr>
                <w:b/>
                <w:sz w:val="20"/>
              </w:rPr>
              <w:t>Oddíl  4</w:t>
            </w:r>
            <w:proofErr w:type="gramEnd"/>
            <w:r>
              <w:rPr>
                <w:b/>
                <w:sz w:val="20"/>
              </w:rPr>
              <w:t xml:space="preserve">  Pokyny pro kontrolu souladu se scénářem expozice</w:t>
            </w:r>
          </w:p>
        </w:tc>
      </w:tr>
    </w:tbl>
    <w:p w:rsidR="00BF612A" w:rsidRDefault="00BF612A">
      <w:pPr>
        <w:spacing w:line="227" w:lineRule="exact"/>
        <w:rPr>
          <w:sz w:val="20"/>
        </w:rPr>
        <w:sectPr w:rsidR="00BF612A" w:rsidSect="003E52AB">
          <w:footerReference w:type="default" r:id="rId14"/>
          <w:pgSz w:w="12240" w:h="15840"/>
          <w:pgMar w:top="840" w:right="600" w:bottom="280" w:left="800" w:header="850" w:footer="0" w:gutter="0"/>
          <w:cols w:space="708"/>
          <w:docGrid w:linePitch="299"/>
        </w:sectPr>
      </w:pPr>
    </w:p>
    <w:p w:rsidR="00BF612A" w:rsidRDefault="00BF612A">
      <w:pPr>
        <w:pStyle w:val="Zkladntext"/>
        <w:spacing w:before="11"/>
        <w:ind w:left="0"/>
        <w:rPr>
          <w:rFonts w:ascii="Arial"/>
          <w:sz w:val="11"/>
        </w:rPr>
      </w:pPr>
    </w:p>
    <w:tbl>
      <w:tblPr>
        <w:tblStyle w:val="TableNormal"/>
        <w:tblW w:w="0" w:type="auto"/>
        <w:tblInd w:w="123"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10589"/>
      </w:tblGrid>
      <w:tr w:rsidR="00BF612A">
        <w:trPr>
          <w:trHeight w:hRule="exact" w:val="245"/>
        </w:trPr>
        <w:tc>
          <w:tcPr>
            <w:tcW w:w="10589" w:type="dxa"/>
            <w:tcBorders>
              <w:left w:val="single" w:sz="6" w:space="0" w:color="000000"/>
              <w:bottom w:val="single" w:sz="6" w:space="0" w:color="000000"/>
              <w:right w:val="single" w:sz="6" w:space="0" w:color="000000"/>
            </w:tcBorders>
          </w:tcPr>
          <w:p w:rsidR="00BF612A" w:rsidRDefault="003E52AB">
            <w:pPr>
              <w:pStyle w:val="TableParagraph"/>
              <w:spacing w:line="220" w:lineRule="exact"/>
              <w:rPr>
                <w:b/>
                <w:sz w:val="20"/>
              </w:rPr>
            </w:pPr>
            <w:r>
              <w:rPr>
                <w:b/>
                <w:sz w:val="20"/>
              </w:rPr>
              <w:t>4.1. Zdraví</w:t>
            </w:r>
          </w:p>
        </w:tc>
      </w:tr>
      <w:tr w:rsidR="00BF612A">
        <w:trPr>
          <w:trHeight w:hRule="exact" w:val="475"/>
        </w:trPr>
        <w:tc>
          <w:tcPr>
            <w:tcW w:w="10589" w:type="dxa"/>
            <w:tcBorders>
              <w:top w:val="single" w:sz="6" w:space="0" w:color="000000"/>
              <w:left w:val="single" w:sz="6" w:space="0" w:color="000000"/>
              <w:bottom w:val="single" w:sz="6" w:space="0" w:color="000000"/>
              <w:right w:val="single" w:sz="6" w:space="0" w:color="000000"/>
            </w:tcBorders>
          </w:tcPr>
          <w:p w:rsidR="00BF612A" w:rsidRDefault="003E52AB">
            <w:pPr>
              <w:pStyle w:val="TableParagraph"/>
              <w:rPr>
                <w:sz w:val="20"/>
              </w:rPr>
            </w:pPr>
            <w:r>
              <w:rPr>
                <w:sz w:val="20"/>
              </w:rPr>
              <w:t xml:space="preserve">Dostupné údaje o nebezpečnosti nevykazují nutnost stanovení hodnoty DNEL pro ostatní účinky na </w:t>
            </w:r>
            <w:proofErr w:type="gramStart"/>
            <w:r>
              <w:rPr>
                <w:sz w:val="20"/>
              </w:rPr>
              <w:t>zdraví.[</w:t>
            </w:r>
            <w:proofErr w:type="gramEnd"/>
            <w:r>
              <w:rPr>
                <w:sz w:val="20"/>
              </w:rPr>
              <w:t>G36] Opatření pro nakládání s riziky se zakládají na kvalitativní charakterizaci rizik. [G37]</w:t>
            </w:r>
          </w:p>
        </w:tc>
      </w:tr>
      <w:tr w:rsidR="00BF612A">
        <w:trPr>
          <w:trHeight w:hRule="exact" w:val="245"/>
        </w:trPr>
        <w:tc>
          <w:tcPr>
            <w:tcW w:w="10589" w:type="dxa"/>
            <w:tcBorders>
              <w:top w:val="single" w:sz="6" w:space="0" w:color="000000"/>
              <w:left w:val="single" w:sz="6" w:space="0" w:color="000000"/>
              <w:bottom w:val="single" w:sz="6" w:space="0" w:color="000000"/>
              <w:right w:val="single" w:sz="6" w:space="0" w:color="000000"/>
            </w:tcBorders>
          </w:tcPr>
          <w:p w:rsidR="00BF612A" w:rsidRDefault="003E52AB">
            <w:pPr>
              <w:pStyle w:val="TableParagraph"/>
              <w:spacing w:line="227" w:lineRule="exact"/>
              <w:rPr>
                <w:b/>
                <w:sz w:val="20"/>
              </w:rPr>
            </w:pPr>
            <w:r>
              <w:rPr>
                <w:b/>
                <w:sz w:val="20"/>
              </w:rPr>
              <w:t>4.2. Životní prostředí</w:t>
            </w:r>
          </w:p>
        </w:tc>
      </w:tr>
      <w:tr w:rsidR="00BF612A">
        <w:trPr>
          <w:trHeight w:hRule="exact" w:val="245"/>
        </w:trPr>
        <w:tc>
          <w:tcPr>
            <w:tcW w:w="10589" w:type="dxa"/>
            <w:tcBorders>
              <w:top w:val="single" w:sz="6" w:space="0" w:color="000000"/>
              <w:left w:val="single" w:sz="6" w:space="0" w:color="000000"/>
              <w:bottom w:val="single" w:sz="6" w:space="0" w:color="000000"/>
              <w:right w:val="single" w:sz="6" w:space="0" w:color="000000"/>
            </w:tcBorders>
          </w:tcPr>
          <w:p w:rsidR="00BF612A" w:rsidRDefault="003E52AB">
            <w:pPr>
              <w:pStyle w:val="TableParagraph"/>
              <w:spacing w:line="230" w:lineRule="exact"/>
              <w:rPr>
                <w:sz w:val="20"/>
              </w:rPr>
            </w:pPr>
            <w:r>
              <w:rPr>
                <w:sz w:val="20"/>
              </w:rPr>
              <w:t>Nevztahuje se</w:t>
            </w:r>
          </w:p>
        </w:tc>
      </w:tr>
    </w:tbl>
    <w:p w:rsidR="00BF612A" w:rsidRDefault="00BF612A">
      <w:pPr>
        <w:spacing w:line="230" w:lineRule="exact"/>
        <w:rPr>
          <w:sz w:val="20"/>
        </w:rPr>
        <w:sectPr w:rsidR="00BF612A" w:rsidSect="003E52AB">
          <w:footerReference w:type="default" r:id="rId15"/>
          <w:pgSz w:w="12240" w:h="15840"/>
          <w:pgMar w:top="840" w:right="600" w:bottom="280" w:left="800" w:header="850" w:footer="0" w:gutter="0"/>
          <w:cols w:space="708"/>
          <w:docGrid w:linePitch="299"/>
        </w:sectPr>
      </w:pPr>
    </w:p>
    <w:p w:rsidR="00BF612A" w:rsidRDefault="00BF612A">
      <w:pPr>
        <w:pStyle w:val="Zkladntext"/>
        <w:spacing w:before="9"/>
        <w:ind w:left="0"/>
        <w:rPr>
          <w:rFonts w:ascii="Arial"/>
          <w:sz w:val="17"/>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82"/>
        <w:gridCol w:w="5307"/>
      </w:tblGrid>
      <w:tr w:rsidR="00BF612A">
        <w:trPr>
          <w:trHeight w:hRule="exact" w:val="245"/>
        </w:trPr>
        <w:tc>
          <w:tcPr>
            <w:tcW w:w="10589" w:type="dxa"/>
            <w:gridSpan w:val="2"/>
            <w:shd w:val="clear" w:color="auto" w:fill="C1C1C1"/>
          </w:tcPr>
          <w:p w:rsidR="00BF612A" w:rsidRDefault="003E52AB">
            <w:pPr>
              <w:pStyle w:val="TableParagraph"/>
              <w:spacing w:line="227" w:lineRule="exact"/>
              <w:rPr>
                <w:b/>
                <w:sz w:val="20"/>
              </w:rPr>
            </w:pPr>
            <w:r>
              <w:rPr>
                <w:b/>
                <w:sz w:val="20"/>
              </w:rPr>
              <w:t>Oddíl 1 Název scénáře expozice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Název:</w:t>
            </w:r>
          </w:p>
        </w:tc>
      </w:tr>
      <w:tr w:rsidR="00BF612A">
        <w:trPr>
          <w:trHeight w:hRule="exact" w:val="245"/>
        </w:trPr>
        <w:tc>
          <w:tcPr>
            <w:tcW w:w="10589" w:type="dxa"/>
            <w:gridSpan w:val="2"/>
            <w:shd w:val="clear" w:color="auto" w:fill="FFFF00"/>
          </w:tcPr>
          <w:p w:rsidR="00BF612A" w:rsidRDefault="003E52AB">
            <w:pPr>
              <w:pStyle w:val="TableParagraph"/>
              <w:spacing w:line="230" w:lineRule="exact"/>
              <w:rPr>
                <w:sz w:val="20"/>
              </w:rPr>
            </w:pPr>
            <w:r>
              <w:rPr>
                <w:sz w:val="20"/>
              </w:rPr>
              <w:t>ES 2: Použití jako palivo - odborné</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deskriptor použití</w:t>
            </w:r>
          </w:p>
        </w:tc>
      </w:tr>
      <w:tr w:rsidR="00BF612A">
        <w:trPr>
          <w:trHeight w:hRule="exact" w:val="245"/>
        </w:trPr>
        <w:tc>
          <w:tcPr>
            <w:tcW w:w="5282" w:type="dxa"/>
          </w:tcPr>
          <w:p w:rsidR="00BF612A" w:rsidRDefault="003E52AB">
            <w:pPr>
              <w:pStyle w:val="TableParagraph"/>
              <w:spacing w:line="230" w:lineRule="exact"/>
              <w:rPr>
                <w:sz w:val="20"/>
              </w:rPr>
            </w:pPr>
            <w:r>
              <w:rPr>
                <w:sz w:val="20"/>
              </w:rPr>
              <w:t>sektor(y) použití</w:t>
            </w:r>
          </w:p>
        </w:tc>
        <w:tc>
          <w:tcPr>
            <w:tcW w:w="5306" w:type="dxa"/>
          </w:tcPr>
          <w:p w:rsidR="00BF612A" w:rsidRDefault="003E52AB">
            <w:pPr>
              <w:pStyle w:val="TableParagraph"/>
              <w:spacing w:line="230" w:lineRule="exact"/>
              <w:rPr>
                <w:sz w:val="20"/>
              </w:rPr>
            </w:pPr>
            <w:r>
              <w:rPr>
                <w:sz w:val="20"/>
              </w:rPr>
              <w:t>SU22</w:t>
            </w:r>
          </w:p>
        </w:tc>
      </w:tr>
      <w:tr w:rsidR="00BF612A">
        <w:trPr>
          <w:trHeight w:hRule="exact" w:val="245"/>
        </w:trPr>
        <w:tc>
          <w:tcPr>
            <w:tcW w:w="5282" w:type="dxa"/>
          </w:tcPr>
          <w:p w:rsidR="00BF612A" w:rsidRDefault="003E52AB">
            <w:pPr>
              <w:pStyle w:val="TableParagraph"/>
              <w:spacing w:line="230" w:lineRule="exact"/>
              <w:rPr>
                <w:sz w:val="20"/>
              </w:rPr>
            </w:pPr>
            <w:r>
              <w:rPr>
                <w:sz w:val="20"/>
              </w:rPr>
              <w:t>Procesní kategorie</w:t>
            </w:r>
          </w:p>
        </w:tc>
        <w:tc>
          <w:tcPr>
            <w:tcW w:w="5306" w:type="dxa"/>
          </w:tcPr>
          <w:p w:rsidR="00BF612A" w:rsidRDefault="003E52AB">
            <w:pPr>
              <w:pStyle w:val="TableParagraph"/>
              <w:spacing w:line="230" w:lineRule="exact"/>
              <w:rPr>
                <w:sz w:val="20"/>
              </w:rPr>
            </w:pPr>
            <w:r>
              <w:rPr>
                <w:sz w:val="20"/>
              </w:rPr>
              <w:t>PROC1, PROC16, PROC2, PROC3, PROC8a, PROC8b</w:t>
            </w:r>
          </w:p>
        </w:tc>
      </w:tr>
      <w:tr w:rsidR="00BF612A">
        <w:trPr>
          <w:trHeight w:hRule="exact" w:val="245"/>
        </w:trPr>
        <w:tc>
          <w:tcPr>
            <w:tcW w:w="5282" w:type="dxa"/>
          </w:tcPr>
          <w:p w:rsidR="00BF612A" w:rsidRDefault="003E52AB">
            <w:pPr>
              <w:pStyle w:val="TableParagraph"/>
              <w:spacing w:line="230" w:lineRule="exact"/>
              <w:rPr>
                <w:sz w:val="20"/>
              </w:rPr>
            </w:pPr>
            <w:r>
              <w:rPr>
                <w:sz w:val="20"/>
              </w:rPr>
              <w:t>Kategorie uvolňování do prostředí</w:t>
            </w:r>
          </w:p>
        </w:tc>
        <w:tc>
          <w:tcPr>
            <w:tcW w:w="5306" w:type="dxa"/>
          </w:tcPr>
          <w:p w:rsidR="00BF612A" w:rsidRDefault="003E52AB">
            <w:pPr>
              <w:pStyle w:val="TableParagraph"/>
              <w:spacing w:line="230" w:lineRule="exact"/>
              <w:rPr>
                <w:sz w:val="20"/>
              </w:rPr>
            </w:pPr>
            <w:r>
              <w:rPr>
                <w:sz w:val="20"/>
              </w:rPr>
              <w:t>ERC9A, ERC9B</w:t>
            </w:r>
          </w:p>
        </w:tc>
      </w:tr>
      <w:tr w:rsidR="00BF612A">
        <w:trPr>
          <w:trHeight w:hRule="exact" w:val="245"/>
        </w:trPr>
        <w:tc>
          <w:tcPr>
            <w:tcW w:w="5282" w:type="dxa"/>
          </w:tcPr>
          <w:p w:rsidR="00BF612A" w:rsidRDefault="003E52AB">
            <w:pPr>
              <w:pStyle w:val="TableParagraph"/>
              <w:spacing w:line="230" w:lineRule="exact"/>
              <w:rPr>
                <w:sz w:val="20"/>
              </w:rPr>
            </w:pPr>
            <w:r>
              <w:rPr>
                <w:sz w:val="20"/>
              </w:rPr>
              <w:t>Specifická kategorie uvolňování do životního prostředí</w:t>
            </w:r>
          </w:p>
        </w:tc>
        <w:tc>
          <w:tcPr>
            <w:tcW w:w="5306" w:type="dxa"/>
          </w:tcPr>
          <w:p w:rsidR="00BF612A" w:rsidRDefault="00BF612A"/>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Zohledňující procesy, úkoly, činnosti</w:t>
            </w:r>
          </w:p>
        </w:tc>
      </w:tr>
      <w:tr w:rsidR="00BF612A">
        <w:trPr>
          <w:trHeight w:hRule="exact" w:val="476"/>
        </w:trPr>
        <w:tc>
          <w:tcPr>
            <w:tcW w:w="10589" w:type="dxa"/>
            <w:gridSpan w:val="2"/>
          </w:tcPr>
          <w:p w:rsidR="00BF612A" w:rsidRDefault="003E52AB">
            <w:pPr>
              <w:pStyle w:val="TableParagraph"/>
              <w:ind w:right="716"/>
              <w:rPr>
                <w:sz w:val="20"/>
              </w:rPr>
            </w:pPr>
            <w:r>
              <w:rPr>
                <w:sz w:val="20"/>
              </w:rPr>
              <w:t>Zahrnuje použití jako pohonná hmota (nebo pohonná hmota přísada), včetně činností vyplývajících s transferu, použití, údržby zařízení a nakládání s odpadem.</w:t>
            </w:r>
          </w:p>
        </w:tc>
      </w:tr>
      <w:tr w:rsidR="00BF612A">
        <w:trPr>
          <w:trHeight w:hRule="exact" w:val="244"/>
        </w:trPr>
        <w:tc>
          <w:tcPr>
            <w:tcW w:w="10589" w:type="dxa"/>
            <w:gridSpan w:val="2"/>
            <w:shd w:val="clear" w:color="auto" w:fill="C1C1C1"/>
          </w:tcPr>
          <w:p w:rsidR="00BF612A" w:rsidRDefault="003E52AB">
            <w:pPr>
              <w:pStyle w:val="TableParagraph"/>
              <w:spacing w:line="226" w:lineRule="exact"/>
              <w:rPr>
                <w:b/>
                <w:sz w:val="20"/>
              </w:rPr>
            </w:pPr>
            <w:r>
              <w:rPr>
                <w:b/>
                <w:sz w:val="20"/>
              </w:rPr>
              <w:t>Oddíl 2 Provozní podmínky a opatření pro řízení rizik</w:t>
            </w:r>
          </w:p>
        </w:tc>
      </w:tr>
      <w:tr w:rsidR="00BF612A">
        <w:trPr>
          <w:trHeight w:hRule="exact" w:val="245"/>
        </w:trPr>
        <w:tc>
          <w:tcPr>
            <w:tcW w:w="10589" w:type="dxa"/>
            <w:gridSpan w:val="2"/>
            <w:shd w:val="clear" w:color="auto" w:fill="C1C1C1"/>
          </w:tcPr>
          <w:p w:rsidR="00BF612A" w:rsidRDefault="003E52AB">
            <w:pPr>
              <w:pStyle w:val="TableParagraph"/>
              <w:spacing w:line="227" w:lineRule="exact"/>
              <w:rPr>
                <w:b/>
                <w:sz w:val="20"/>
              </w:rPr>
            </w:pPr>
            <w:r>
              <w:rPr>
                <w:b/>
                <w:sz w:val="20"/>
              </w:rPr>
              <w:t xml:space="preserve">Oddíl </w:t>
            </w:r>
            <w:proofErr w:type="gramStart"/>
            <w:r>
              <w:rPr>
                <w:b/>
                <w:sz w:val="20"/>
              </w:rPr>
              <w:t>2.1  Řízení</w:t>
            </w:r>
            <w:proofErr w:type="gramEnd"/>
            <w:r>
              <w:rPr>
                <w:b/>
                <w:sz w:val="20"/>
              </w:rPr>
              <w:t xml:space="preserve"> expozice pracovníků</w:t>
            </w:r>
          </w:p>
        </w:tc>
      </w:tr>
      <w:tr w:rsidR="00BF612A">
        <w:trPr>
          <w:trHeight w:hRule="exact" w:val="247"/>
        </w:trPr>
        <w:tc>
          <w:tcPr>
            <w:tcW w:w="10589" w:type="dxa"/>
            <w:gridSpan w:val="2"/>
          </w:tcPr>
          <w:p w:rsidR="00BF612A" w:rsidRDefault="003E52AB">
            <w:pPr>
              <w:pStyle w:val="TableParagraph"/>
              <w:spacing w:line="230" w:lineRule="exact"/>
              <w:rPr>
                <w:b/>
                <w:sz w:val="20"/>
              </w:rPr>
            </w:pPr>
            <w:r>
              <w:rPr>
                <w:b/>
                <w:sz w:val="20"/>
              </w:rPr>
              <w:t>Vlastnosti produktu</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kapalina</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Délka, frekvence a množství</w:t>
            </w:r>
          </w:p>
        </w:tc>
      </w:tr>
      <w:tr w:rsidR="00BF612A">
        <w:trPr>
          <w:trHeight w:hRule="exact" w:val="475"/>
        </w:trPr>
        <w:tc>
          <w:tcPr>
            <w:tcW w:w="10589" w:type="dxa"/>
            <w:gridSpan w:val="2"/>
          </w:tcPr>
          <w:p w:rsidR="00BF612A" w:rsidRDefault="003E52AB">
            <w:pPr>
              <w:pStyle w:val="TableParagraph"/>
              <w:ind w:right="3628"/>
              <w:rPr>
                <w:sz w:val="20"/>
              </w:rPr>
            </w:pPr>
            <w:r>
              <w:rPr>
                <w:sz w:val="20"/>
              </w:rPr>
              <w:t xml:space="preserve">Vztahuje se na denní expozice po dobu až 8 hodin (není-li uvedeno </w:t>
            </w:r>
            <w:proofErr w:type="gramStart"/>
            <w:r>
              <w:rPr>
                <w:sz w:val="20"/>
              </w:rPr>
              <w:t>jinak)[</w:t>
            </w:r>
            <w:proofErr w:type="gramEnd"/>
            <w:r>
              <w:rPr>
                <w:sz w:val="20"/>
              </w:rPr>
              <w:t>G2] Vztahuje se na procentuální podíl až 100 % látky v produktu[G13 ]</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Další provozní podmínky týkající se expozicezaměstnanců</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Předpokládá se, že je implementován dobrý základní standard hygieny na pracovišti [G1]</w:t>
            </w:r>
          </w:p>
        </w:tc>
      </w:tr>
      <w:tr w:rsidR="00BF612A">
        <w:trPr>
          <w:trHeight w:hRule="exact" w:val="475"/>
        </w:trPr>
        <w:tc>
          <w:tcPr>
            <w:tcW w:w="10589" w:type="dxa"/>
            <w:gridSpan w:val="2"/>
            <w:shd w:val="clear" w:color="auto" w:fill="C1C1C1"/>
          </w:tcPr>
          <w:p w:rsidR="00BF612A" w:rsidRDefault="003E52AB">
            <w:pPr>
              <w:pStyle w:val="TableParagraph"/>
              <w:spacing w:line="227" w:lineRule="exact"/>
              <w:rPr>
                <w:b/>
                <w:sz w:val="20"/>
              </w:rPr>
            </w:pPr>
            <w:r>
              <w:rPr>
                <w:b/>
                <w:sz w:val="20"/>
              </w:rPr>
              <w:t>Přispívající scénáře/Specifická opatření pro řízení rizik a provozní podmínky</w:t>
            </w:r>
          </w:p>
          <w:p w:rsidR="00BF612A" w:rsidRDefault="003E52AB">
            <w:pPr>
              <w:pStyle w:val="TableParagraph"/>
              <w:spacing w:before="3"/>
              <w:rPr>
                <w:sz w:val="20"/>
              </w:rPr>
            </w:pPr>
            <w:r>
              <w:rPr>
                <w:sz w:val="20"/>
              </w:rPr>
              <w:t>(jsou uvedeny pouze nutné kontroly prokazující bezpečné použití)</w:t>
            </w:r>
          </w:p>
        </w:tc>
      </w:tr>
      <w:tr w:rsidR="00BF612A">
        <w:trPr>
          <w:trHeight w:hRule="exact" w:val="1625"/>
        </w:trPr>
        <w:tc>
          <w:tcPr>
            <w:tcW w:w="10589" w:type="dxa"/>
            <w:gridSpan w:val="2"/>
          </w:tcPr>
          <w:p w:rsidR="00BF612A" w:rsidRDefault="003E52AB">
            <w:pPr>
              <w:pStyle w:val="TableParagraph"/>
              <w:spacing w:line="227" w:lineRule="exact"/>
              <w:rPr>
                <w:b/>
                <w:sz w:val="20"/>
              </w:rPr>
            </w:pPr>
            <w:r>
              <w:rPr>
                <w:b/>
                <w:sz w:val="20"/>
              </w:rPr>
              <w:t>Všeobecná opatření (Nebezpečí vdechnutí)</w:t>
            </w:r>
          </w:p>
          <w:p w:rsidR="00BF612A" w:rsidRDefault="003E52AB">
            <w:pPr>
              <w:pStyle w:val="TableParagraph"/>
              <w:spacing w:before="3"/>
              <w:ind w:right="68"/>
              <w:rPr>
                <w:sz w:val="20"/>
              </w:rPr>
            </w:pPr>
            <w:r>
              <w:rPr>
                <w:sz w:val="20"/>
              </w:rPr>
              <w:t>Věta označující specifickou rizikovost H304 (Při požití a vniknutí do dýchacích cest může způsobit smrt) se týká možnosti vdechnutí, což je nekvantifikovatelné riziko definované fyzikálně-chemickými vlastnostmi (tj. viskozitou), které se může vyskytnout v průběhu požití a také v případě zvracení po požití. Hodnota DNEL nemůže být odvozena. Nebezpečnost plynoucí z fyzikálně-chemických rizik látky může být kontrolována zavedením opatření pro snížení rizik. Pro</w:t>
            </w:r>
            <w:r>
              <w:rPr>
                <w:spacing w:val="-4"/>
                <w:sz w:val="20"/>
              </w:rPr>
              <w:t xml:space="preserve"> </w:t>
            </w:r>
            <w:r>
              <w:rPr>
                <w:sz w:val="20"/>
              </w:rPr>
              <w:t>látky</w:t>
            </w:r>
            <w:r>
              <w:rPr>
                <w:spacing w:val="-10"/>
                <w:sz w:val="20"/>
              </w:rPr>
              <w:t xml:space="preserve"> </w:t>
            </w:r>
            <w:r>
              <w:rPr>
                <w:sz w:val="20"/>
              </w:rPr>
              <w:t>klasifikované</w:t>
            </w:r>
            <w:r>
              <w:rPr>
                <w:spacing w:val="-2"/>
                <w:sz w:val="20"/>
              </w:rPr>
              <w:t xml:space="preserve"> </w:t>
            </w:r>
            <w:r>
              <w:rPr>
                <w:sz w:val="20"/>
              </w:rPr>
              <w:t>jako</w:t>
            </w:r>
            <w:r>
              <w:rPr>
                <w:spacing w:val="-4"/>
                <w:sz w:val="20"/>
              </w:rPr>
              <w:t xml:space="preserve"> </w:t>
            </w:r>
            <w:r>
              <w:rPr>
                <w:sz w:val="20"/>
              </w:rPr>
              <w:t>H304</w:t>
            </w:r>
            <w:r>
              <w:rPr>
                <w:spacing w:val="-2"/>
                <w:sz w:val="20"/>
              </w:rPr>
              <w:t xml:space="preserve"> </w:t>
            </w:r>
            <w:r>
              <w:rPr>
                <w:sz w:val="20"/>
              </w:rPr>
              <w:t>musí</w:t>
            </w:r>
            <w:r>
              <w:rPr>
                <w:spacing w:val="-4"/>
                <w:sz w:val="20"/>
              </w:rPr>
              <w:t xml:space="preserve"> </w:t>
            </w:r>
            <w:r>
              <w:rPr>
                <w:sz w:val="20"/>
              </w:rPr>
              <w:t>být</w:t>
            </w:r>
            <w:r>
              <w:rPr>
                <w:spacing w:val="-2"/>
                <w:sz w:val="20"/>
              </w:rPr>
              <w:t xml:space="preserve"> </w:t>
            </w:r>
            <w:r>
              <w:rPr>
                <w:sz w:val="20"/>
              </w:rPr>
              <w:t>pro</w:t>
            </w:r>
            <w:r>
              <w:rPr>
                <w:spacing w:val="-2"/>
                <w:sz w:val="20"/>
              </w:rPr>
              <w:t xml:space="preserve"> </w:t>
            </w:r>
            <w:r>
              <w:rPr>
                <w:sz w:val="20"/>
              </w:rPr>
              <w:t>účely</w:t>
            </w:r>
            <w:r>
              <w:rPr>
                <w:spacing w:val="-7"/>
                <w:sz w:val="20"/>
              </w:rPr>
              <w:t xml:space="preserve"> </w:t>
            </w:r>
            <w:r>
              <w:rPr>
                <w:sz w:val="20"/>
              </w:rPr>
              <w:t>kontroly</w:t>
            </w:r>
            <w:r>
              <w:rPr>
                <w:spacing w:val="-5"/>
                <w:sz w:val="20"/>
              </w:rPr>
              <w:t xml:space="preserve"> </w:t>
            </w:r>
            <w:r>
              <w:rPr>
                <w:sz w:val="20"/>
              </w:rPr>
              <w:t>nebezpečí</w:t>
            </w:r>
            <w:r>
              <w:rPr>
                <w:spacing w:val="-2"/>
                <w:sz w:val="20"/>
              </w:rPr>
              <w:t xml:space="preserve"> </w:t>
            </w:r>
            <w:r>
              <w:rPr>
                <w:sz w:val="20"/>
              </w:rPr>
              <w:t>vdechnutí</w:t>
            </w:r>
            <w:r>
              <w:rPr>
                <w:spacing w:val="-2"/>
                <w:sz w:val="20"/>
              </w:rPr>
              <w:t xml:space="preserve"> </w:t>
            </w:r>
            <w:r>
              <w:rPr>
                <w:sz w:val="20"/>
              </w:rPr>
              <w:t>zavedena</w:t>
            </w:r>
            <w:r>
              <w:rPr>
                <w:spacing w:val="-4"/>
                <w:sz w:val="20"/>
              </w:rPr>
              <w:t xml:space="preserve"> </w:t>
            </w:r>
            <w:r>
              <w:rPr>
                <w:sz w:val="20"/>
              </w:rPr>
              <w:t>následující</w:t>
            </w:r>
            <w:r>
              <w:rPr>
                <w:spacing w:val="-4"/>
                <w:sz w:val="20"/>
              </w:rPr>
              <w:t xml:space="preserve"> </w:t>
            </w:r>
            <w:r>
              <w:rPr>
                <w:sz w:val="20"/>
              </w:rPr>
              <w:t>opatření.</w:t>
            </w:r>
          </w:p>
          <w:p w:rsidR="00BF612A" w:rsidRDefault="003E52AB">
            <w:pPr>
              <w:pStyle w:val="TableParagraph"/>
              <w:rPr>
                <w:sz w:val="20"/>
              </w:rPr>
            </w:pPr>
            <w:r>
              <w:rPr>
                <w:sz w:val="20"/>
              </w:rPr>
              <w:t>Nepožívejte.  V případě požití vyhledejte okamžitě lékařskou pomoc.  NEVYVOLÁVEJTE zvracení.</w:t>
            </w:r>
          </w:p>
        </w:tc>
      </w:tr>
      <w:tr w:rsidR="00BF612A">
        <w:trPr>
          <w:trHeight w:hRule="exact" w:val="245"/>
        </w:trPr>
        <w:tc>
          <w:tcPr>
            <w:tcW w:w="10589" w:type="dxa"/>
            <w:gridSpan w:val="2"/>
            <w:shd w:val="clear" w:color="auto" w:fill="C1C1C1"/>
          </w:tcPr>
          <w:p w:rsidR="00BF612A" w:rsidRDefault="003E52AB">
            <w:pPr>
              <w:pStyle w:val="TableParagraph"/>
              <w:spacing w:line="227" w:lineRule="exact"/>
              <w:rPr>
                <w:b/>
                <w:sz w:val="20"/>
              </w:rPr>
            </w:pPr>
            <w:r>
              <w:rPr>
                <w:b/>
                <w:sz w:val="20"/>
              </w:rPr>
              <w:t xml:space="preserve">Oddíl </w:t>
            </w:r>
            <w:proofErr w:type="gramStart"/>
            <w:r>
              <w:rPr>
                <w:b/>
                <w:sz w:val="20"/>
              </w:rPr>
              <w:t>2.2  Řízení</w:t>
            </w:r>
            <w:proofErr w:type="gramEnd"/>
            <w:r>
              <w:rPr>
                <w:b/>
                <w:sz w:val="20"/>
              </w:rPr>
              <w:t xml:space="preserve"> expozice životního prostředí</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Vlastnosti produktu</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Délka, frekvence a množství</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Ekologické faktory neovlivněné řízením rizik</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Další provozní podmínky týkající se expozice životního prostředí</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technické podmínky a opatření na procesní rovině (zdroji) k zabránění průsaku</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7"/>
        </w:trPr>
        <w:tc>
          <w:tcPr>
            <w:tcW w:w="10589" w:type="dxa"/>
            <w:gridSpan w:val="2"/>
          </w:tcPr>
          <w:p w:rsidR="00BF612A" w:rsidRDefault="003E52AB">
            <w:pPr>
              <w:pStyle w:val="TableParagraph"/>
              <w:spacing w:line="230" w:lineRule="exact"/>
              <w:rPr>
                <w:b/>
                <w:sz w:val="20"/>
              </w:rPr>
            </w:pPr>
            <w:r>
              <w:rPr>
                <w:b/>
                <w:sz w:val="20"/>
              </w:rPr>
              <w:t>Technické podmínky místa a opatření k redukci a omezení vývodů, vzdušných emisí a uvolnění do půdy</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Organizační opatření na prevenci/omezení uvolňování z pracoviště</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27" w:lineRule="exact"/>
              <w:rPr>
                <w:b/>
                <w:sz w:val="20"/>
              </w:rPr>
            </w:pPr>
            <w:r>
              <w:rPr>
                <w:b/>
                <w:sz w:val="20"/>
              </w:rPr>
              <w:t>Podmínky a opatření ve věci komunálních čističek</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Podmínky a opatření k externímu zpracování kanalizačního odpadu</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Podmínky a opatření k externímu zužitkování odpadu</w:t>
            </w:r>
          </w:p>
        </w:tc>
      </w:tr>
      <w:tr w:rsidR="00BF612A">
        <w:trPr>
          <w:trHeight w:hRule="exact" w:val="245"/>
        </w:trPr>
        <w:tc>
          <w:tcPr>
            <w:tcW w:w="10589" w:type="dxa"/>
            <w:gridSpan w:val="2"/>
          </w:tcPr>
          <w:p w:rsidR="00BF612A" w:rsidRDefault="003E52AB">
            <w:pPr>
              <w:pStyle w:val="TableParagraph"/>
              <w:spacing w:line="230" w:lineRule="exact"/>
              <w:rPr>
                <w:sz w:val="20"/>
              </w:rPr>
            </w:pPr>
            <w:r>
              <w:rPr>
                <w:sz w:val="20"/>
              </w:rPr>
              <w:t>Nevztahuje se</w:t>
            </w:r>
          </w:p>
        </w:tc>
      </w:tr>
    </w:tbl>
    <w:p w:rsidR="00BF612A" w:rsidRDefault="00BF612A">
      <w:pPr>
        <w:spacing w:line="230" w:lineRule="exact"/>
        <w:rPr>
          <w:sz w:val="20"/>
        </w:rPr>
        <w:sectPr w:rsidR="00BF612A" w:rsidSect="003E52AB">
          <w:footerReference w:type="default" r:id="rId16"/>
          <w:pgSz w:w="12240" w:h="15840"/>
          <w:pgMar w:top="840" w:right="600" w:bottom="280" w:left="800" w:header="850" w:footer="0" w:gutter="0"/>
          <w:cols w:space="708"/>
          <w:docGrid w:linePitch="299"/>
        </w:sectPr>
      </w:pPr>
    </w:p>
    <w:p w:rsidR="00BF612A" w:rsidRDefault="00BF612A">
      <w:pPr>
        <w:pStyle w:val="Zkladntext"/>
        <w:ind w:left="0"/>
        <w:rPr>
          <w:rFonts w:ascii="Arial"/>
          <w:sz w:val="20"/>
        </w:rPr>
      </w:pPr>
    </w:p>
    <w:p w:rsidR="00BF612A" w:rsidRDefault="00BF612A">
      <w:pPr>
        <w:pStyle w:val="Zkladntext"/>
        <w:spacing w:before="11"/>
        <w:ind w:left="0"/>
        <w:rPr>
          <w:rFonts w:ascii="Arial"/>
          <w:sz w:val="11"/>
        </w:rPr>
      </w:pPr>
    </w:p>
    <w:tbl>
      <w:tblPr>
        <w:tblStyle w:val="TableNormal"/>
        <w:tblW w:w="0" w:type="auto"/>
        <w:tblInd w:w="123"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10589"/>
      </w:tblGrid>
      <w:tr w:rsidR="00BF612A">
        <w:trPr>
          <w:trHeight w:hRule="exact" w:val="245"/>
        </w:trPr>
        <w:tc>
          <w:tcPr>
            <w:tcW w:w="10589" w:type="dxa"/>
            <w:tcBorders>
              <w:left w:val="single" w:sz="6" w:space="0" w:color="000000"/>
              <w:bottom w:val="single" w:sz="6" w:space="0" w:color="000000"/>
              <w:right w:val="single" w:sz="6" w:space="0" w:color="000000"/>
            </w:tcBorders>
            <w:shd w:val="clear" w:color="auto" w:fill="C1C1C1"/>
          </w:tcPr>
          <w:p w:rsidR="00BF612A" w:rsidRDefault="003E52AB">
            <w:pPr>
              <w:pStyle w:val="TableParagraph"/>
              <w:spacing w:line="220" w:lineRule="exact"/>
              <w:rPr>
                <w:b/>
                <w:sz w:val="20"/>
              </w:rPr>
            </w:pPr>
            <w:r>
              <w:rPr>
                <w:b/>
                <w:sz w:val="20"/>
              </w:rPr>
              <w:t>Oddíl 3 Odhad expozice</w:t>
            </w:r>
          </w:p>
        </w:tc>
      </w:tr>
      <w:tr w:rsidR="00BF612A">
        <w:trPr>
          <w:trHeight w:hRule="exact" w:val="245"/>
        </w:trPr>
        <w:tc>
          <w:tcPr>
            <w:tcW w:w="10589" w:type="dxa"/>
            <w:tcBorders>
              <w:top w:val="single" w:sz="6" w:space="0" w:color="000000"/>
              <w:left w:val="single" w:sz="6" w:space="0" w:color="000000"/>
              <w:bottom w:val="single" w:sz="6" w:space="0" w:color="000000"/>
              <w:right w:val="single" w:sz="6" w:space="0" w:color="000000"/>
            </w:tcBorders>
          </w:tcPr>
          <w:p w:rsidR="00BF612A" w:rsidRDefault="003E52AB">
            <w:pPr>
              <w:pStyle w:val="TableParagraph"/>
              <w:spacing w:line="227" w:lineRule="exact"/>
              <w:rPr>
                <w:b/>
                <w:sz w:val="20"/>
              </w:rPr>
            </w:pPr>
            <w:r>
              <w:rPr>
                <w:b/>
                <w:sz w:val="20"/>
              </w:rPr>
              <w:t>3.1. Zdraví</w:t>
            </w:r>
          </w:p>
        </w:tc>
      </w:tr>
      <w:tr w:rsidR="00BF612A">
        <w:trPr>
          <w:trHeight w:hRule="exact" w:val="245"/>
        </w:trPr>
        <w:tc>
          <w:tcPr>
            <w:tcW w:w="10589" w:type="dxa"/>
            <w:tcBorders>
              <w:top w:val="single" w:sz="6" w:space="0" w:color="000000"/>
              <w:left w:val="single" w:sz="6" w:space="0" w:color="000000"/>
              <w:bottom w:val="single" w:sz="6" w:space="0" w:color="000000"/>
              <w:right w:val="single" w:sz="6" w:space="0" w:color="000000"/>
            </w:tcBorders>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tcBorders>
              <w:top w:val="single" w:sz="6" w:space="0" w:color="000000"/>
              <w:left w:val="single" w:sz="6" w:space="0" w:color="000000"/>
              <w:bottom w:val="single" w:sz="6" w:space="0" w:color="000000"/>
              <w:right w:val="single" w:sz="6" w:space="0" w:color="000000"/>
            </w:tcBorders>
          </w:tcPr>
          <w:p w:rsidR="00BF612A" w:rsidRDefault="003E52AB">
            <w:pPr>
              <w:pStyle w:val="TableParagraph"/>
              <w:spacing w:line="227" w:lineRule="exact"/>
              <w:rPr>
                <w:b/>
                <w:sz w:val="20"/>
              </w:rPr>
            </w:pPr>
            <w:r>
              <w:rPr>
                <w:b/>
                <w:sz w:val="20"/>
              </w:rPr>
              <w:t>3.2. Životní prostředí</w:t>
            </w:r>
          </w:p>
        </w:tc>
      </w:tr>
      <w:tr w:rsidR="00BF612A">
        <w:trPr>
          <w:trHeight w:hRule="exact" w:val="245"/>
        </w:trPr>
        <w:tc>
          <w:tcPr>
            <w:tcW w:w="10589" w:type="dxa"/>
            <w:tcBorders>
              <w:top w:val="single" w:sz="6" w:space="0" w:color="000000"/>
              <w:left w:val="single" w:sz="6" w:space="0" w:color="000000"/>
              <w:bottom w:val="single" w:sz="6" w:space="0" w:color="000000"/>
              <w:right w:val="single" w:sz="6" w:space="0" w:color="000000"/>
            </w:tcBorders>
          </w:tcPr>
          <w:p w:rsidR="00BF612A" w:rsidRDefault="003E52AB">
            <w:pPr>
              <w:pStyle w:val="TableParagraph"/>
              <w:spacing w:line="230" w:lineRule="exact"/>
              <w:rPr>
                <w:sz w:val="20"/>
              </w:rPr>
            </w:pPr>
            <w:r>
              <w:rPr>
                <w:sz w:val="20"/>
              </w:rPr>
              <w:t>Nevztahuje se</w:t>
            </w:r>
          </w:p>
        </w:tc>
      </w:tr>
      <w:tr w:rsidR="00BF612A">
        <w:trPr>
          <w:trHeight w:hRule="exact" w:val="245"/>
        </w:trPr>
        <w:tc>
          <w:tcPr>
            <w:tcW w:w="10589" w:type="dxa"/>
            <w:tcBorders>
              <w:top w:val="single" w:sz="6" w:space="0" w:color="000000"/>
              <w:left w:val="single" w:sz="6" w:space="0" w:color="000000"/>
              <w:bottom w:val="single" w:sz="6" w:space="0" w:color="000000"/>
              <w:right w:val="single" w:sz="6" w:space="0" w:color="000000"/>
            </w:tcBorders>
            <w:shd w:val="clear" w:color="auto" w:fill="C1C1C1"/>
          </w:tcPr>
          <w:p w:rsidR="00BF612A" w:rsidRDefault="003E52AB">
            <w:pPr>
              <w:pStyle w:val="TableParagraph"/>
              <w:spacing w:line="227" w:lineRule="exact"/>
              <w:rPr>
                <w:b/>
                <w:sz w:val="20"/>
              </w:rPr>
            </w:pPr>
            <w:proofErr w:type="gramStart"/>
            <w:r>
              <w:rPr>
                <w:b/>
                <w:sz w:val="20"/>
              </w:rPr>
              <w:t>Oddíl  4</w:t>
            </w:r>
            <w:proofErr w:type="gramEnd"/>
            <w:r>
              <w:rPr>
                <w:b/>
                <w:sz w:val="20"/>
              </w:rPr>
              <w:t xml:space="preserve">  Pokyny pro kontrolu souladu se scénářem expozice</w:t>
            </w:r>
          </w:p>
        </w:tc>
      </w:tr>
      <w:tr w:rsidR="00BF612A">
        <w:trPr>
          <w:trHeight w:hRule="exact" w:val="245"/>
        </w:trPr>
        <w:tc>
          <w:tcPr>
            <w:tcW w:w="10589" w:type="dxa"/>
            <w:tcBorders>
              <w:top w:val="single" w:sz="6" w:space="0" w:color="000000"/>
              <w:left w:val="single" w:sz="6" w:space="0" w:color="000000"/>
              <w:bottom w:val="single" w:sz="6" w:space="0" w:color="000000"/>
              <w:right w:val="single" w:sz="6" w:space="0" w:color="000000"/>
            </w:tcBorders>
          </w:tcPr>
          <w:p w:rsidR="00BF612A" w:rsidRDefault="003E52AB">
            <w:pPr>
              <w:pStyle w:val="TableParagraph"/>
              <w:spacing w:line="227" w:lineRule="exact"/>
              <w:rPr>
                <w:b/>
                <w:sz w:val="20"/>
              </w:rPr>
            </w:pPr>
            <w:r>
              <w:rPr>
                <w:b/>
                <w:sz w:val="20"/>
              </w:rPr>
              <w:t>4.1. Zdraví</w:t>
            </w:r>
          </w:p>
        </w:tc>
      </w:tr>
      <w:tr w:rsidR="00BF612A">
        <w:trPr>
          <w:trHeight w:hRule="exact" w:val="475"/>
        </w:trPr>
        <w:tc>
          <w:tcPr>
            <w:tcW w:w="10589" w:type="dxa"/>
            <w:tcBorders>
              <w:top w:val="single" w:sz="6" w:space="0" w:color="000000"/>
              <w:left w:val="single" w:sz="6" w:space="0" w:color="000000"/>
              <w:bottom w:val="single" w:sz="6" w:space="0" w:color="000000"/>
              <w:right w:val="single" w:sz="6" w:space="0" w:color="000000"/>
            </w:tcBorders>
          </w:tcPr>
          <w:p w:rsidR="00BF612A" w:rsidRDefault="003E52AB">
            <w:pPr>
              <w:pStyle w:val="TableParagraph"/>
              <w:rPr>
                <w:sz w:val="20"/>
              </w:rPr>
            </w:pPr>
            <w:r>
              <w:rPr>
                <w:sz w:val="20"/>
              </w:rPr>
              <w:t xml:space="preserve">Dostupné údaje o nebezpečnosti nevykazují nutnost stanovení hodnoty DNEL pro ostatní účinky na </w:t>
            </w:r>
            <w:proofErr w:type="gramStart"/>
            <w:r>
              <w:rPr>
                <w:sz w:val="20"/>
              </w:rPr>
              <w:t>zdraví.[</w:t>
            </w:r>
            <w:proofErr w:type="gramEnd"/>
            <w:r>
              <w:rPr>
                <w:sz w:val="20"/>
              </w:rPr>
              <w:t>G36] Opatření pro nakládání s riziky se zakládají na kvalitativní charakterizaci rizik. [G37]</w:t>
            </w:r>
          </w:p>
        </w:tc>
      </w:tr>
      <w:tr w:rsidR="00BF612A">
        <w:trPr>
          <w:trHeight w:hRule="exact" w:val="245"/>
        </w:trPr>
        <w:tc>
          <w:tcPr>
            <w:tcW w:w="10589" w:type="dxa"/>
            <w:tcBorders>
              <w:top w:val="single" w:sz="6" w:space="0" w:color="000000"/>
              <w:left w:val="single" w:sz="6" w:space="0" w:color="000000"/>
              <w:bottom w:val="single" w:sz="6" w:space="0" w:color="000000"/>
              <w:right w:val="single" w:sz="6" w:space="0" w:color="000000"/>
            </w:tcBorders>
          </w:tcPr>
          <w:p w:rsidR="00BF612A" w:rsidRDefault="003E52AB">
            <w:pPr>
              <w:pStyle w:val="TableParagraph"/>
              <w:spacing w:line="227" w:lineRule="exact"/>
              <w:rPr>
                <w:b/>
                <w:sz w:val="20"/>
              </w:rPr>
            </w:pPr>
            <w:r>
              <w:rPr>
                <w:b/>
                <w:sz w:val="20"/>
              </w:rPr>
              <w:t>4.2. Životní prostředí</w:t>
            </w:r>
          </w:p>
        </w:tc>
      </w:tr>
      <w:tr w:rsidR="00BF612A">
        <w:trPr>
          <w:trHeight w:hRule="exact" w:val="247"/>
        </w:trPr>
        <w:tc>
          <w:tcPr>
            <w:tcW w:w="10589" w:type="dxa"/>
            <w:tcBorders>
              <w:top w:val="single" w:sz="6" w:space="0" w:color="000000"/>
              <w:left w:val="single" w:sz="6" w:space="0" w:color="000000"/>
              <w:bottom w:val="single" w:sz="6" w:space="0" w:color="000000"/>
              <w:right w:val="single" w:sz="6" w:space="0" w:color="000000"/>
            </w:tcBorders>
          </w:tcPr>
          <w:p w:rsidR="00BF612A" w:rsidRDefault="003E52AB">
            <w:pPr>
              <w:pStyle w:val="TableParagraph"/>
              <w:spacing w:line="230" w:lineRule="exact"/>
              <w:rPr>
                <w:sz w:val="20"/>
              </w:rPr>
            </w:pPr>
            <w:r>
              <w:rPr>
                <w:sz w:val="20"/>
              </w:rPr>
              <w:t>Nevztahuje se</w:t>
            </w:r>
          </w:p>
        </w:tc>
      </w:tr>
    </w:tbl>
    <w:p w:rsidR="003E52AB" w:rsidRDefault="003E52AB"/>
    <w:sectPr w:rsidR="003E52AB" w:rsidSect="003E52AB">
      <w:footerReference w:type="default" r:id="rId17"/>
      <w:pgSz w:w="12240" w:h="15840"/>
      <w:pgMar w:top="840" w:right="600" w:bottom="280" w:left="800" w:header="85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53F" w:rsidRDefault="0052253F">
      <w:r>
        <w:separator/>
      </w:r>
    </w:p>
  </w:endnote>
  <w:endnote w:type="continuationSeparator" w:id="0">
    <w:p w:rsidR="0052253F" w:rsidRDefault="0052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AB" w:rsidRPr="00F4651F" w:rsidRDefault="003E52AB" w:rsidP="003E52AB">
    <w:pPr>
      <w:pStyle w:val="Zpat"/>
      <w:ind w:left="426"/>
    </w:pPr>
    <w:r>
      <w:rPr>
        <w:noProof/>
      </w:rPr>
      <w:drawing>
        <wp:inline distT="0" distB="0" distL="0" distR="0">
          <wp:extent cx="6126480" cy="54864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6480" cy="548640"/>
                  </a:xfrm>
                  <a:prstGeom prst="rect">
                    <a:avLst/>
                  </a:prstGeom>
                  <a:noFill/>
                  <a:ln>
                    <a:noFill/>
                  </a:ln>
                </pic:spPr>
              </pic:pic>
            </a:graphicData>
          </a:graphic>
        </wp:inline>
      </w:drawing>
    </w:r>
  </w:p>
  <w:p w:rsidR="003E52AB" w:rsidRPr="003E52AB" w:rsidRDefault="003E52AB" w:rsidP="003E52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AB" w:rsidRDefault="003E52AB">
    <w:pPr>
      <w:pStyle w:val="Zkladn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AB" w:rsidRDefault="003E52AB">
    <w:pPr>
      <w:pStyle w:val="Zkladn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AB" w:rsidRDefault="003E52AB">
    <w:pPr>
      <w:pStyle w:val="Zkladn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AB" w:rsidRDefault="003E52AB">
    <w:pPr>
      <w:pStyle w:val="Zkladn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AB" w:rsidRDefault="003E52AB">
    <w:pPr>
      <w:pStyle w:val="Zkladn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53F" w:rsidRDefault="0052253F">
      <w:r>
        <w:separator/>
      </w:r>
    </w:p>
  </w:footnote>
  <w:footnote w:type="continuationSeparator" w:id="0">
    <w:p w:rsidR="0052253F" w:rsidRDefault="0052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2552"/>
      <w:gridCol w:w="2622"/>
      <w:gridCol w:w="2623"/>
      <w:gridCol w:w="1842"/>
    </w:tblGrid>
    <w:tr w:rsidR="003E52AB" w:rsidRPr="002D7BE9" w:rsidTr="003E52AB">
      <w:tc>
        <w:tcPr>
          <w:tcW w:w="9639" w:type="dxa"/>
          <w:gridSpan w:val="4"/>
        </w:tcPr>
        <w:p w:rsidR="003E52AB" w:rsidRPr="002D7BE9" w:rsidRDefault="003E52AB" w:rsidP="00382D24">
          <w:pPr>
            <w:ind w:left="-142" w:right="-142"/>
            <w:jc w:val="center"/>
          </w:pPr>
          <w:r>
            <w:rPr>
              <w:noProof/>
            </w:rPr>
            <w:pict>
              <v:shapetype id="_x0000_t202" coordsize="21600,21600" o:spt="202" path="m,l,21600r21600,l21600,xe">
                <v:stroke joinstyle="miter"/>
                <v:path gradientshapeok="t" o:connecttype="rect"/>
              </v:shapetype>
              <v:shape id="_x0000_s2053" type="#_x0000_t202" style="position:absolute;left:0;text-align:left;margin-left:231.9pt;margin-top:7.05pt;width:207pt;height:45pt;z-index:503270296" filled="f" stroked="f">
                <v:textbox style="mso-next-textbox:#_x0000_s2053">
                  <w:txbxContent>
                    <w:p w:rsidR="003E52AB" w:rsidRDefault="003E52AB" w:rsidP="00382D24">
                      <w:pPr>
                        <w:pStyle w:val="Nadpis1"/>
                      </w:pPr>
                      <w:r>
                        <w:t>podle nařízení 1907/2006/ES v platném znění</w:t>
                      </w:r>
                    </w:p>
                  </w:txbxContent>
                </v:textbox>
              </v:shape>
            </w:pict>
          </w:r>
          <w:r>
            <w:rPr>
              <w:noProof/>
            </w:rPr>
            <w:drawing>
              <wp:inline distT="0" distB="0" distL="0" distR="0">
                <wp:extent cx="6186805" cy="605790"/>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805" cy="605790"/>
                        </a:xfrm>
                        <a:prstGeom prst="rect">
                          <a:avLst/>
                        </a:prstGeom>
                        <a:noFill/>
                        <a:ln>
                          <a:noFill/>
                        </a:ln>
                      </pic:spPr>
                    </pic:pic>
                  </a:graphicData>
                </a:graphic>
              </wp:inline>
            </w:drawing>
          </w:r>
        </w:p>
        <w:p w:rsidR="003E52AB" w:rsidRPr="002D7BE9" w:rsidRDefault="003E52AB" w:rsidP="00382D24">
          <w:pPr>
            <w:rPr>
              <w:sz w:val="16"/>
            </w:rPr>
          </w:pPr>
        </w:p>
      </w:tc>
    </w:tr>
    <w:tr w:rsidR="003E52AB" w:rsidRPr="002D7BE9" w:rsidTr="003E52AB">
      <w:tc>
        <w:tcPr>
          <w:tcW w:w="2552" w:type="dxa"/>
        </w:tcPr>
        <w:p w:rsidR="003E52AB" w:rsidRPr="002D7BE9" w:rsidRDefault="003E52AB" w:rsidP="00382D24">
          <w:pPr>
            <w:rPr>
              <w:rFonts w:ascii="Arial" w:hAnsi="Arial" w:cs="Arial"/>
              <w:sz w:val="16"/>
            </w:rPr>
          </w:pPr>
          <w:r w:rsidRPr="002D7BE9">
            <w:rPr>
              <w:rFonts w:ascii="Arial" w:hAnsi="Arial" w:cs="Arial"/>
              <w:b/>
              <w:bCs/>
              <w:sz w:val="16"/>
            </w:rPr>
            <w:t>Datum vydání</w:t>
          </w:r>
          <w:r w:rsidRPr="002D7BE9">
            <w:rPr>
              <w:rFonts w:ascii="Arial" w:hAnsi="Arial" w:cs="Arial"/>
              <w:sz w:val="16"/>
            </w:rPr>
            <w:t>:</w:t>
          </w:r>
          <w:r w:rsidRPr="002D7BE9">
            <w:rPr>
              <w:rFonts w:ascii="Arial" w:hAnsi="Arial" w:cs="Arial"/>
              <w:b/>
              <w:sz w:val="16"/>
            </w:rPr>
            <w:t xml:space="preserve"> </w:t>
          </w:r>
          <w:proofErr w:type="gramStart"/>
          <w:r w:rsidRPr="002D7BE9">
            <w:rPr>
              <w:rFonts w:ascii="Arial" w:hAnsi="Arial" w:cs="Arial"/>
              <w:b/>
              <w:sz w:val="16"/>
            </w:rPr>
            <w:t>24.</w:t>
          </w:r>
          <w:r>
            <w:rPr>
              <w:rFonts w:ascii="Arial" w:hAnsi="Arial" w:cs="Arial"/>
              <w:b/>
              <w:sz w:val="16"/>
            </w:rPr>
            <w:t>února</w:t>
          </w:r>
          <w:proofErr w:type="gramEnd"/>
          <w:r w:rsidRPr="002D7BE9">
            <w:rPr>
              <w:rFonts w:ascii="Arial" w:hAnsi="Arial" w:cs="Arial"/>
              <w:b/>
              <w:sz w:val="16"/>
            </w:rPr>
            <w:t xml:space="preserve"> 201</w:t>
          </w:r>
          <w:r>
            <w:rPr>
              <w:rFonts w:ascii="Arial" w:hAnsi="Arial" w:cs="Arial"/>
              <w:b/>
              <w:sz w:val="16"/>
            </w:rPr>
            <w:t>8</w:t>
          </w:r>
        </w:p>
      </w:tc>
      <w:tc>
        <w:tcPr>
          <w:tcW w:w="2622" w:type="dxa"/>
        </w:tcPr>
        <w:p w:rsidR="003E52AB" w:rsidRPr="002D7BE9" w:rsidRDefault="003E52AB" w:rsidP="00382D24">
          <w:pPr>
            <w:rPr>
              <w:rFonts w:ascii="Arial" w:hAnsi="Arial" w:cs="Arial"/>
              <w:b/>
              <w:bCs/>
              <w:sz w:val="16"/>
            </w:rPr>
          </w:pPr>
          <w:r w:rsidRPr="002D7BE9">
            <w:rPr>
              <w:rFonts w:ascii="Arial" w:hAnsi="Arial" w:cs="Arial"/>
              <w:b/>
              <w:bCs/>
              <w:sz w:val="16"/>
            </w:rPr>
            <w:t xml:space="preserve">Datum revize: </w:t>
          </w:r>
        </w:p>
      </w:tc>
      <w:tc>
        <w:tcPr>
          <w:tcW w:w="2623" w:type="dxa"/>
        </w:tcPr>
        <w:p w:rsidR="003E52AB" w:rsidRPr="002D7BE9" w:rsidRDefault="003E52AB" w:rsidP="00382D24">
          <w:pPr>
            <w:rPr>
              <w:rFonts w:ascii="Arial" w:hAnsi="Arial" w:cs="Arial"/>
              <w:b/>
              <w:bCs/>
              <w:sz w:val="16"/>
            </w:rPr>
          </w:pPr>
          <w:r w:rsidRPr="002D7BE9">
            <w:rPr>
              <w:rFonts w:ascii="Arial" w:hAnsi="Arial" w:cs="Arial"/>
              <w:b/>
              <w:bCs/>
              <w:sz w:val="16"/>
            </w:rPr>
            <w:t xml:space="preserve">Číslo revize: </w:t>
          </w:r>
          <w:r>
            <w:rPr>
              <w:rFonts w:ascii="Arial" w:hAnsi="Arial" w:cs="Arial"/>
              <w:b/>
              <w:bCs/>
              <w:sz w:val="16"/>
            </w:rPr>
            <w:t>1.0</w:t>
          </w:r>
          <w:r w:rsidRPr="002D7BE9">
            <w:rPr>
              <w:rFonts w:ascii="Arial" w:hAnsi="Arial" w:cs="Arial"/>
              <w:b/>
              <w:bCs/>
              <w:sz w:val="16"/>
            </w:rPr>
            <w:t xml:space="preserve">    </w:t>
          </w:r>
        </w:p>
      </w:tc>
      <w:tc>
        <w:tcPr>
          <w:tcW w:w="1842" w:type="dxa"/>
        </w:tcPr>
        <w:p w:rsidR="003E52AB" w:rsidRPr="002D7BE9" w:rsidRDefault="003E52AB" w:rsidP="00382D24">
          <w:pPr>
            <w:rPr>
              <w:rFonts w:ascii="Arial" w:hAnsi="Arial" w:cs="Arial"/>
              <w:b/>
              <w:bCs/>
              <w:sz w:val="16"/>
            </w:rPr>
          </w:pPr>
          <w:r w:rsidRPr="002D7BE9">
            <w:rPr>
              <w:rFonts w:ascii="Arial" w:hAnsi="Arial" w:cs="Arial"/>
              <w:b/>
              <w:bCs/>
              <w:sz w:val="16"/>
            </w:rPr>
            <w:t xml:space="preserve">Strana </w:t>
          </w:r>
          <w:r w:rsidRPr="002D7BE9">
            <w:rPr>
              <w:rFonts w:ascii="Arial" w:hAnsi="Arial" w:cs="Arial"/>
              <w:b/>
              <w:bCs/>
              <w:sz w:val="16"/>
            </w:rPr>
            <w:fldChar w:fldCharType="begin"/>
          </w:r>
          <w:r w:rsidRPr="002D7BE9">
            <w:rPr>
              <w:rFonts w:ascii="Arial" w:hAnsi="Arial" w:cs="Arial"/>
              <w:b/>
              <w:bCs/>
              <w:sz w:val="16"/>
            </w:rPr>
            <w:instrText xml:space="preserve"> PAGE </w:instrText>
          </w:r>
          <w:r w:rsidRPr="002D7BE9">
            <w:rPr>
              <w:rFonts w:ascii="Arial" w:hAnsi="Arial" w:cs="Arial"/>
              <w:b/>
              <w:bCs/>
              <w:sz w:val="16"/>
            </w:rPr>
            <w:fldChar w:fldCharType="separate"/>
          </w:r>
          <w:r w:rsidR="00863658">
            <w:rPr>
              <w:rFonts w:ascii="Arial" w:hAnsi="Arial" w:cs="Arial"/>
              <w:b/>
              <w:bCs/>
              <w:noProof/>
              <w:sz w:val="16"/>
            </w:rPr>
            <w:t>16</w:t>
          </w:r>
          <w:r w:rsidRPr="002D7BE9">
            <w:rPr>
              <w:rFonts w:ascii="Arial" w:hAnsi="Arial" w:cs="Arial"/>
              <w:b/>
              <w:bCs/>
              <w:sz w:val="16"/>
            </w:rPr>
            <w:fldChar w:fldCharType="end"/>
          </w:r>
          <w:r w:rsidRPr="002D7BE9">
            <w:rPr>
              <w:rFonts w:ascii="Arial" w:hAnsi="Arial" w:cs="Arial"/>
              <w:b/>
              <w:bCs/>
              <w:sz w:val="16"/>
            </w:rPr>
            <w:t xml:space="preserve">/ </w:t>
          </w:r>
          <w:r w:rsidRPr="002D7BE9">
            <w:rPr>
              <w:rFonts w:ascii="Arial" w:hAnsi="Arial" w:cs="Arial"/>
              <w:b/>
              <w:bCs/>
              <w:sz w:val="16"/>
            </w:rPr>
            <w:fldChar w:fldCharType="begin"/>
          </w:r>
          <w:r w:rsidRPr="002D7BE9">
            <w:rPr>
              <w:rFonts w:ascii="Arial" w:hAnsi="Arial" w:cs="Arial"/>
              <w:b/>
              <w:bCs/>
              <w:sz w:val="16"/>
            </w:rPr>
            <w:instrText xml:space="preserve"> NUMPAGES </w:instrText>
          </w:r>
          <w:r w:rsidRPr="002D7BE9">
            <w:rPr>
              <w:rFonts w:ascii="Arial" w:hAnsi="Arial" w:cs="Arial"/>
              <w:b/>
              <w:bCs/>
              <w:sz w:val="16"/>
            </w:rPr>
            <w:fldChar w:fldCharType="separate"/>
          </w:r>
          <w:r w:rsidR="00863658">
            <w:rPr>
              <w:rFonts w:ascii="Arial" w:hAnsi="Arial" w:cs="Arial"/>
              <w:b/>
              <w:bCs/>
              <w:noProof/>
              <w:sz w:val="16"/>
            </w:rPr>
            <w:t>16</w:t>
          </w:r>
          <w:r w:rsidRPr="002D7BE9">
            <w:rPr>
              <w:rFonts w:ascii="Arial" w:hAnsi="Arial" w:cs="Arial"/>
              <w:b/>
              <w:bCs/>
              <w:sz w:val="16"/>
            </w:rPr>
            <w:fldChar w:fldCharType="end"/>
          </w:r>
        </w:p>
      </w:tc>
    </w:tr>
    <w:tr w:rsidR="003E52AB" w:rsidRPr="002D7BE9" w:rsidTr="003E52AB">
      <w:tc>
        <w:tcPr>
          <w:tcW w:w="9639" w:type="dxa"/>
          <w:gridSpan w:val="4"/>
        </w:tcPr>
        <w:p w:rsidR="003E52AB" w:rsidRPr="002D7BE9" w:rsidRDefault="003E52AB" w:rsidP="00382D24">
          <w:pPr>
            <w:rPr>
              <w:rFonts w:ascii="Arial" w:hAnsi="Arial" w:cs="Arial"/>
              <w:b/>
              <w:snapToGrid w:val="0"/>
              <w:sz w:val="16"/>
              <w:szCs w:val="16"/>
            </w:rPr>
          </w:pPr>
          <w:r w:rsidRPr="002D7BE9">
            <w:rPr>
              <w:rFonts w:ascii="Arial" w:hAnsi="Arial" w:cs="Arial"/>
              <w:b/>
              <w:bCs/>
              <w:sz w:val="16"/>
            </w:rPr>
            <w:t>Název výrobku:</w:t>
          </w:r>
          <w:r w:rsidRPr="002D7BE9">
            <w:rPr>
              <w:rFonts w:ascii="Arial" w:hAnsi="Arial" w:cs="Arial"/>
              <w:b/>
              <w:bCs/>
              <w:snapToGrid w:val="0"/>
              <w:sz w:val="16"/>
              <w:szCs w:val="16"/>
            </w:rPr>
            <w:t xml:space="preserve"> </w:t>
          </w:r>
          <w:r w:rsidRPr="005D42B8">
            <w:rPr>
              <w:rFonts w:ascii="Arial" w:hAnsi="Arial" w:cs="Arial"/>
              <w:b/>
              <w:bCs/>
              <w:snapToGrid w:val="0"/>
              <w:sz w:val="16"/>
              <w:szCs w:val="16"/>
            </w:rPr>
            <w:t>ZAPAL TO</w:t>
          </w:r>
          <w:r>
            <w:rPr>
              <w:rFonts w:ascii="Arial" w:hAnsi="Arial" w:cs="Arial"/>
              <w:b/>
              <w:bCs/>
              <w:snapToGrid w:val="0"/>
              <w:sz w:val="16"/>
              <w:szCs w:val="16"/>
            </w:rPr>
            <w:t xml:space="preserve"> tekutý podpalovač</w:t>
          </w:r>
        </w:p>
      </w:tc>
    </w:tr>
  </w:tbl>
  <w:p w:rsidR="003E52AB" w:rsidRDefault="003E52AB" w:rsidP="00382D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52DDA"/>
    <w:multiLevelType w:val="multilevel"/>
    <w:tmpl w:val="035C4F90"/>
    <w:lvl w:ilvl="0">
      <w:start w:val="1"/>
      <w:numFmt w:val="decimal"/>
      <w:lvlText w:val="%1"/>
      <w:lvlJc w:val="left"/>
      <w:pPr>
        <w:ind w:left="787" w:hanging="652"/>
        <w:jc w:val="left"/>
      </w:pPr>
      <w:rPr>
        <w:rFonts w:hint="default"/>
      </w:rPr>
    </w:lvl>
    <w:lvl w:ilvl="1">
      <w:start w:val="1"/>
      <w:numFmt w:val="decimal"/>
      <w:lvlText w:val="%1.%2"/>
      <w:lvlJc w:val="left"/>
      <w:pPr>
        <w:ind w:left="787" w:hanging="652"/>
        <w:jc w:val="left"/>
      </w:pPr>
      <w:rPr>
        <w:rFonts w:ascii="Verdana" w:eastAsia="Verdana" w:hAnsi="Verdana" w:cs="Verdana" w:hint="default"/>
        <w:b/>
        <w:bCs/>
        <w:w w:val="100"/>
        <w:sz w:val="16"/>
        <w:szCs w:val="16"/>
      </w:rPr>
    </w:lvl>
    <w:lvl w:ilvl="2">
      <w:numFmt w:val="bullet"/>
      <w:lvlText w:val="•"/>
      <w:lvlJc w:val="left"/>
      <w:pPr>
        <w:ind w:left="1169" w:hanging="652"/>
      </w:pPr>
      <w:rPr>
        <w:rFonts w:hint="default"/>
      </w:rPr>
    </w:lvl>
    <w:lvl w:ilvl="3">
      <w:numFmt w:val="bullet"/>
      <w:lvlText w:val="•"/>
      <w:lvlJc w:val="left"/>
      <w:pPr>
        <w:ind w:left="1364" w:hanging="652"/>
      </w:pPr>
      <w:rPr>
        <w:rFonts w:hint="default"/>
      </w:rPr>
    </w:lvl>
    <w:lvl w:ilvl="4">
      <w:numFmt w:val="bullet"/>
      <w:lvlText w:val="•"/>
      <w:lvlJc w:val="left"/>
      <w:pPr>
        <w:ind w:left="1559" w:hanging="652"/>
      </w:pPr>
      <w:rPr>
        <w:rFonts w:hint="default"/>
      </w:rPr>
    </w:lvl>
    <w:lvl w:ilvl="5">
      <w:numFmt w:val="bullet"/>
      <w:lvlText w:val="•"/>
      <w:lvlJc w:val="left"/>
      <w:pPr>
        <w:ind w:left="1754" w:hanging="652"/>
      </w:pPr>
      <w:rPr>
        <w:rFonts w:hint="default"/>
      </w:rPr>
    </w:lvl>
    <w:lvl w:ilvl="6">
      <w:numFmt w:val="bullet"/>
      <w:lvlText w:val="•"/>
      <w:lvlJc w:val="left"/>
      <w:pPr>
        <w:ind w:left="1949" w:hanging="652"/>
      </w:pPr>
      <w:rPr>
        <w:rFonts w:hint="default"/>
      </w:rPr>
    </w:lvl>
    <w:lvl w:ilvl="7">
      <w:numFmt w:val="bullet"/>
      <w:lvlText w:val="•"/>
      <w:lvlJc w:val="left"/>
      <w:pPr>
        <w:ind w:left="2143" w:hanging="652"/>
      </w:pPr>
      <w:rPr>
        <w:rFonts w:hint="default"/>
      </w:rPr>
    </w:lvl>
    <w:lvl w:ilvl="8">
      <w:numFmt w:val="bullet"/>
      <w:lvlText w:val="•"/>
      <w:lvlJc w:val="left"/>
      <w:pPr>
        <w:ind w:left="2338" w:hanging="652"/>
      </w:pPr>
      <w:rPr>
        <w:rFonts w:hint="default"/>
      </w:rPr>
    </w:lvl>
  </w:abstractNum>
  <w:abstractNum w:abstractNumId="1" w15:restartNumberingAfterBreak="0">
    <w:nsid w:val="17997AEA"/>
    <w:multiLevelType w:val="multilevel"/>
    <w:tmpl w:val="B86E0A0E"/>
    <w:lvl w:ilvl="0">
      <w:start w:val="10"/>
      <w:numFmt w:val="decimal"/>
      <w:lvlText w:val="%1"/>
      <w:lvlJc w:val="left"/>
      <w:pPr>
        <w:ind w:left="787" w:hanging="652"/>
        <w:jc w:val="left"/>
      </w:pPr>
      <w:rPr>
        <w:rFonts w:hint="default"/>
      </w:rPr>
    </w:lvl>
    <w:lvl w:ilvl="1">
      <w:start w:val="1"/>
      <w:numFmt w:val="decimal"/>
      <w:lvlText w:val="%1.%2"/>
      <w:lvlJc w:val="left"/>
      <w:pPr>
        <w:ind w:left="787" w:hanging="652"/>
        <w:jc w:val="left"/>
      </w:pPr>
      <w:rPr>
        <w:rFonts w:ascii="Verdana" w:eastAsia="Verdana" w:hAnsi="Verdana" w:cs="Verdana" w:hint="default"/>
        <w:b/>
        <w:bCs/>
        <w:w w:val="100"/>
        <w:sz w:val="16"/>
        <w:szCs w:val="16"/>
      </w:rPr>
    </w:lvl>
    <w:lvl w:ilvl="2">
      <w:numFmt w:val="bullet"/>
      <w:lvlText w:val="•"/>
      <w:lvlJc w:val="left"/>
      <w:pPr>
        <w:ind w:left="2720" w:hanging="652"/>
      </w:pPr>
      <w:rPr>
        <w:rFonts w:hint="default"/>
      </w:rPr>
    </w:lvl>
    <w:lvl w:ilvl="3">
      <w:numFmt w:val="bullet"/>
      <w:lvlText w:val="•"/>
      <w:lvlJc w:val="left"/>
      <w:pPr>
        <w:ind w:left="3690" w:hanging="652"/>
      </w:pPr>
      <w:rPr>
        <w:rFonts w:hint="default"/>
      </w:rPr>
    </w:lvl>
    <w:lvl w:ilvl="4">
      <w:numFmt w:val="bullet"/>
      <w:lvlText w:val="•"/>
      <w:lvlJc w:val="left"/>
      <w:pPr>
        <w:ind w:left="4660" w:hanging="652"/>
      </w:pPr>
      <w:rPr>
        <w:rFonts w:hint="default"/>
      </w:rPr>
    </w:lvl>
    <w:lvl w:ilvl="5">
      <w:numFmt w:val="bullet"/>
      <w:lvlText w:val="•"/>
      <w:lvlJc w:val="left"/>
      <w:pPr>
        <w:ind w:left="5630" w:hanging="652"/>
      </w:pPr>
      <w:rPr>
        <w:rFonts w:hint="default"/>
      </w:rPr>
    </w:lvl>
    <w:lvl w:ilvl="6">
      <w:numFmt w:val="bullet"/>
      <w:lvlText w:val="•"/>
      <w:lvlJc w:val="left"/>
      <w:pPr>
        <w:ind w:left="6600" w:hanging="652"/>
      </w:pPr>
      <w:rPr>
        <w:rFonts w:hint="default"/>
      </w:rPr>
    </w:lvl>
    <w:lvl w:ilvl="7">
      <w:numFmt w:val="bullet"/>
      <w:lvlText w:val="•"/>
      <w:lvlJc w:val="left"/>
      <w:pPr>
        <w:ind w:left="7570" w:hanging="652"/>
      </w:pPr>
      <w:rPr>
        <w:rFonts w:hint="default"/>
      </w:rPr>
    </w:lvl>
    <w:lvl w:ilvl="8">
      <w:numFmt w:val="bullet"/>
      <w:lvlText w:val="•"/>
      <w:lvlJc w:val="left"/>
      <w:pPr>
        <w:ind w:left="8540" w:hanging="652"/>
      </w:pPr>
      <w:rPr>
        <w:rFonts w:hint="default"/>
      </w:rPr>
    </w:lvl>
  </w:abstractNum>
  <w:abstractNum w:abstractNumId="2" w15:restartNumberingAfterBreak="0">
    <w:nsid w:val="27006C3B"/>
    <w:multiLevelType w:val="multilevel"/>
    <w:tmpl w:val="236C55FC"/>
    <w:lvl w:ilvl="0">
      <w:start w:val="14"/>
      <w:numFmt w:val="decimal"/>
      <w:lvlText w:val="%1"/>
      <w:lvlJc w:val="left"/>
      <w:pPr>
        <w:ind w:left="787" w:hanging="652"/>
        <w:jc w:val="left"/>
      </w:pPr>
      <w:rPr>
        <w:rFonts w:hint="default"/>
      </w:rPr>
    </w:lvl>
    <w:lvl w:ilvl="1">
      <w:start w:val="1"/>
      <w:numFmt w:val="decimal"/>
      <w:lvlText w:val="%1.%2"/>
      <w:lvlJc w:val="left"/>
      <w:pPr>
        <w:ind w:left="787" w:hanging="652"/>
        <w:jc w:val="left"/>
      </w:pPr>
      <w:rPr>
        <w:rFonts w:ascii="Verdana" w:eastAsia="Verdana" w:hAnsi="Verdana" w:cs="Verdana" w:hint="default"/>
        <w:b/>
        <w:bCs/>
        <w:w w:val="100"/>
        <w:sz w:val="16"/>
        <w:szCs w:val="16"/>
      </w:rPr>
    </w:lvl>
    <w:lvl w:ilvl="2">
      <w:numFmt w:val="bullet"/>
      <w:lvlText w:val="•"/>
      <w:lvlJc w:val="left"/>
      <w:pPr>
        <w:ind w:left="2720" w:hanging="652"/>
      </w:pPr>
      <w:rPr>
        <w:rFonts w:hint="default"/>
      </w:rPr>
    </w:lvl>
    <w:lvl w:ilvl="3">
      <w:numFmt w:val="bullet"/>
      <w:lvlText w:val="•"/>
      <w:lvlJc w:val="left"/>
      <w:pPr>
        <w:ind w:left="3690" w:hanging="652"/>
      </w:pPr>
      <w:rPr>
        <w:rFonts w:hint="default"/>
      </w:rPr>
    </w:lvl>
    <w:lvl w:ilvl="4">
      <w:numFmt w:val="bullet"/>
      <w:lvlText w:val="•"/>
      <w:lvlJc w:val="left"/>
      <w:pPr>
        <w:ind w:left="4660" w:hanging="652"/>
      </w:pPr>
      <w:rPr>
        <w:rFonts w:hint="default"/>
      </w:rPr>
    </w:lvl>
    <w:lvl w:ilvl="5">
      <w:numFmt w:val="bullet"/>
      <w:lvlText w:val="•"/>
      <w:lvlJc w:val="left"/>
      <w:pPr>
        <w:ind w:left="5630" w:hanging="652"/>
      </w:pPr>
      <w:rPr>
        <w:rFonts w:hint="default"/>
      </w:rPr>
    </w:lvl>
    <w:lvl w:ilvl="6">
      <w:numFmt w:val="bullet"/>
      <w:lvlText w:val="•"/>
      <w:lvlJc w:val="left"/>
      <w:pPr>
        <w:ind w:left="6600" w:hanging="652"/>
      </w:pPr>
      <w:rPr>
        <w:rFonts w:hint="default"/>
      </w:rPr>
    </w:lvl>
    <w:lvl w:ilvl="7">
      <w:numFmt w:val="bullet"/>
      <w:lvlText w:val="•"/>
      <w:lvlJc w:val="left"/>
      <w:pPr>
        <w:ind w:left="7570" w:hanging="652"/>
      </w:pPr>
      <w:rPr>
        <w:rFonts w:hint="default"/>
      </w:rPr>
    </w:lvl>
    <w:lvl w:ilvl="8">
      <w:numFmt w:val="bullet"/>
      <w:lvlText w:val="•"/>
      <w:lvlJc w:val="left"/>
      <w:pPr>
        <w:ind w:left="8540" w:hanging="652"/>
      </w:pPr>
      <w:rPr>
        <w:rFonts w:hint="default"/>
      </w:rPr>
    </w:lvl>
  </w:abstractNum>
  <w:abstractNum w:abstractNumId="3" w15:restartNumberingAfterBreak="0">
    <w:nsid w:val="3CFF5191"/>
    <w:multiLevelType w:val="multilevel"/>
    <w:tmpl w:val="2A847580"/>
    <w:lvl w:ilvl="0">
      <w:start w:val="15"/>
      <w:numFmt w:val="decimal"/>
      <w:lvlText w:val="%1"/>
      <w:lvlJc w:val="left"/>
      <w:pPr>
        <w:ind w:left="787" w:hanging="652"/>
        <w:jc w:val="left"/>
      </w:pPr>
      <w:rPr>
        <w:rFonts w:hint="default"/>
      </w:rPr>
    </w:lvl>
    <w:lvl w:ilvl="1">
      <w:start w:val="1"/>
      <w:numFmt w:val="decimal"/>
      <w:lvlText w:val="%1.%2"/>
      <w:lvlJc w:val="left"/>
      <w:pPr>
        <w:ind w:left="787" w:hanging="652"/>
        <w:jc w:val="left"/>
      </w:pPr>
      <w:rPr>
        <w:rFonts w:ascii="Verdana" w:eastAsia="Verdana" w:hAnsi="Verdana" w:cs="Verdana" w:hint="default"/>
        <w:b/>
        <w:bCs/>
        <w:w w:val="100"/>
        <w:sz w:val="16"/>
        <w:szCs w:val="16"/>
      </w:rPr>
    </w:lvl>
    <w:lvl w:ilvl="2">
      <w:numFmt w:val="bullet"/>
      <w:lvlText w:val="•"/>
      <w:lvlJc w:val="left"/>
      <w:pPr>
        <w:ind w:left="2720" w:hanging="652"/>
      </w:pPr>
      <w:rPr>
        <w:rFonts w:hint="default"/>
      </w:rPr>
    </w:lvl>
    <w:lvl w:ilvl="3">
      <w:numFmt w:val="bullet"/>
      <w:lvlText w:val="•"/>
      <w:lvlJc w:val="left"/>
      <w:pPr>
        <w:ind w:left="3690" w:hanging="652"/>
      </w:pPr>
      <w:rPr>
        <w:rFonts w:hint="default"/>
      </w:rPr>
    </w:lvl>
    <w:lvl w:ilvl="4">
      <w:numFmt w:val="bullet"/>
      <w:lvlText w:val="•"/>
      <w:lvlJc w:val="left"/>
      <w:pPr>
        <w:ind w:left="4660" w:hanging="652"/>
      </w:pPr>
      <w:rPr>
        <w:rFonts w:hint="default"/>
      </w:rPr>
    </w:lvl>
    <w:lvl w:ilvl="5">
      <w:numFmt w:val="bullet"/>
      <w:lvlText w:val="•"/>
      <w:lvlJc w:val="left"/>
      <w:pPr>
        <w:ind w:left="5630" w:hanging="652"/>
      </w:pPr>
      <w:rPr>
        <w:rFonts w:hint="default"/>
      </w:rPr>
    </w:lvl>
    <w:lvl w:ilvl="6">
      <w:numFmt w:val="bullet"/>
      <w:lvlText w:val="•"/>
      <w:lvlJc w:val="left"/>
      <w:pPr>
        <w:ind w:left="6600" w:hanging="652"/>
      </w:pPr>
      <w:rPr>
        <w:rFonts w:hint="default"/>
      </w:rPr>
    </w:lvl>
    <w:lvl w:ilvl="7">
      <w:numFmt w:val="bullet"/>
      <w:lvlText w:val="•"/>
      <w:lvlJc w:val="left"/>
      <w:pPr>
        <w:ind w:left="7570" w:hanging="652"/>
      </w:pPr>
      <w:rPr>
        <w:rFonts w:hint="default"/>
      </w:rPr>
    </w:lvl>
    <w:lvl w:ilvl="8">
      <w:numFmt w:val="bullet"/>
      <w:lvlText w:val="•"/>
      <w:lvlJc w:val="left"/>
      <w:pPr>
        <w:ind w:left="8540" w:hanging="652"/>
      </w:pPr>
      <w:rPr>
        <w:rFonts w:hint="default"/>
      </w:rPr>
    </w:lvl>
  </w:abstractNum>
  <w:abstractNum w:abstractNumId="4" w15:restartNumberingAfterBreak="0">
    <w:nsid w:val="476708D6"/>
    <w:multiLevelType w:val="multilevel"/>
    <w:tmpl w:val="408A6050"/>
    <w:lvl w:ilvl="0">
      <w:start w:val="5"/>
      <w:numFmt w:val="decimal"/>
      <w:lvlText w:val="%1"/>
      <w:lvlJc w:val="left"/>
      <w:pPr>
        <w:ind w:left="787" w:hanging="652"/>
        <w:jc w:val="left"/>
      </w:pPr>
      <w:rPr>
        <w:rFonts w:hint="default"/>
      </w:rPr>
    </w:lvl>
    <w:lvl w:ilvl="1">
      <w:start w:val="1"/>
      <w:numFmt w:val="decimal"/>
      <w:lvlText w:val="%1.%2"/>
      <w:lvlJc w:val="left"/>
      <w:pPr>
        <w:ind w:left="787" w:hanging="652"/>
        <w:jc w:val="left"/>
      </w:pPr>
      <w:rPr>
        <w:rFonts w:ascii="Verdana" w:eastAsia="Verdana" w:hAnsi="Verdana" w:cs="Verdana" w:hint="default"/>
        <w:b/>
        <w:bCs/>
        <w:w w:val="100"/>
        <w:sz w:val="16"/>
        <w:szCs w:val="16"/>
      </w:rPr>
    </w:lvl>
    <w:lvl w:ilvl="2">
      <w:numFmt w:val="bullet"/>
      <w:lvlText w:val="•"/>
      <w:lvlJc w:val="left"/>
      <w:pPr>
        <w:ind w:left="2720" w:hanging="652"/>
      </w:pPr>
      <w:rPr>
        <w:rFonts w:hint="default"/>
      </w:rPr>
    </w:lvl>
    <w:lvl w:ilvl="3">
      <w:numFmt w:val="bullet"/>
      <w:lvlText w:val="•"/>
      <w:lvlJc w:val="left"/>
      <w:pPr>
        <w:ind w:left="3690" w:hanging="652"/>
      </w:pPr>
      <w:rPr>
        <w:rFonts w:hint="default"/>
      </w:rPr>
    </w:lvl>
    <w:lvl w:ilvl="4">
      <w:numFmt w:val="bullet"/>
      <w:lvlText w:val="•"/>
      <w:lvlJc w:val="left"/>
      <w:pPr>
        <w:ind w:left="4660" w:hanging="652"/>
      </w:pPr>
      <w:rPr>
        <w:rFonts w:hint="default"/>
      </w:rPr>
    </w:lvl>
    <w:lvl w:ilvl="5">
      <w:numFmt w:val="bullet"/>
      <w:lvlText w:val="•"/>
      <w:lvlJc w:val="left"/>
      <w:pPr>
        <w:ind w:left="5630" w:hanging="652"/>
      </w:pPr>
      <w:rPr>
        <w:rFonts w:hint="default"/>
      </w:rPr>
    </w:lvl>
    <w:lvl w:ilvl="6">
      <w:numFmt w:val="bullet"/>
      <w:lvlText w:val="•"/>
      <w:lvlJc w:val="left"/>
      <w:pPr>
        <w:ind w:left="6600" w:hanging="652"/>
      </w:pPr>
      <w:rPr>
        <w:rFonts w:hint="default"/>
      </w:rPr>
    </w:lvl>
    <w:lvl w:ilvl="7">
      <w:numFmt w:val="bullet"/>
      <w:lvlText w:val="•"/>
      <w:lvlJc w:val="left"/>
      <w:pPr>
        <w:ind w:left="7570" w:hanging="652"/>
      </w:pPr>
      <w:rPr>
        <w:rFonts w:hint="default"/>
      </w:rPr>
    </w:lvl>
    <w:lvl w:ilvl="8">
      <w:numFmt w:val="bullet"/>
      <w:lvlText w:val="•"/>
      <w:lvlJc w:val="left"/>
      <w:pPr>
        <w:ind w:left="8540" w:hanging="652"/>
      </w:pPr>
      <w:rPr>
        <w:rFonts w:hint="default"/>
      </w:rPr>
    </w:lvl>
  </w:abstractNum>
  <w:abstractNum w:abstractNumId="5" w15:restartNumberingAfterBreak="0">
    <w:nsid w:val="495328B8"/>
    <w:multiLevelType w:val="multilevel"/>
    <w:tmpl w:val="63C84416"/>
    <w:lvl w:ilvl="0">
      <w:start w:val="12"/>
      <w:numFmt w:val="decimal"/>
      <w:lvlText w:val="%1"/>
      <w:lvlJc w:val="left"/>
      <w:pPr>
        <w:ind w:left="787" w:hanging="652"/>
        <w:jc w:val="left"/>
      </w:pPr>
      <w:rPr>
        <w:rFonts w:hint="default"/>
      </w:rPr>
    </w:lvl>
    <w:lvl w:ilvl="1">
      <w:start w:val="1"/>
      <w:numFmt w:val="decimal"/>
      <w:lvlText w:val="%1.%2"/>
      <w:lvlJc w:val="left"/>
      <w:pPr>
        <w:ind w:left="787" w:hanging="652"/>
        <w:jc w:val="left"/>
      </w:pPr>
      <w:rPr>
        <w:rFonts w:ascii="Verdana" w:eastAsia="Verdana" w:hAnsi="Verdana" w:cs="Verdana" w:hint="default"/>
        <w:b/>
        <w:bCs/>
        <w:w w:val="100"/>
        <w:sz w:val="16"/>
        <w:szCs w:val="16"/>
      </w:rPr>
    </w:lvl>
    <w:lvl w:ilvl="2">
      <w:numFmt w:val="bullet"/>
      <w:lvlText w:val="•"/>
      <w:lvlJc w:val="left"/>
      <w:pPr>
        <w:ind w:left="2720" w:hanging="652"/>
      </w:pPr>
      <w:rPr>
        <w:rFonts w:hint="default"/>
      </w:rPr>
    </w:lvl>
    <w:lvl w:ilvl="3">
      <w:numFmt w:val="bullet"/>
      <w:lvlText w:val="•"/>
      <w:lvlJc w:val="left"/>
      <w:pPr>
        <w:ind w:left="3690" w:hanging="652"/>
      </w:pPr>
      <w:rPr>
        <w:rFonts w:hint="default"/>
      </w:rPr>
    </w:lvl>
    <w:lvl w:ilvl="4">
      <w:numFmt w:val="bullet"/>
      <w:lvlText w:val="•"/>
      <w:lvlJc w:val="left"/>
      <w:pPr>
        <w:ind w:left="4660" w:hanging="652"/>
      </w:pPr>
      <w:rPr>
        <w:rFonts w:hint="default"/>
      </w:rPr>
    </w:lvl>
    <w:lvl w:ilvl="5">
      <w:numFmt w:val="bullet"/>
      <w:lvlText w:val="•"/>
      <w:lvlJc w:val="left"/>
      <w:pPr>
        <w:ind w:left="5630" w:hanging="652"/>
      </w:pPr>
      <w:rPr>
        <w:rFonts w:hint="default"/>
      </w:rPr>
    </w:lvl>
    <w:lvl w:ilvl="6">
      <w:numFmt w:val="bullet"/>
      <w:lvlText w:val="•"/>
      <w:lvlJc w:val="left"/>
      <w:pPr>
        <w:ind w:left="6600" w:hanging="652"/>
      </w:pPr>
      <w:rPr>
        <w:rFonts w:hint="default"/>
      </w:rPr>
    </w:lvl>
    <w:lvl w:ilvl="7">
      <w:numFmt w:val="bullet"/>
      <w:lvlText w:val="•"/>
      <w:lvlJc w:val="left"/>
      <w:pPr>
        <w:ind w:left="7570" w:hanging="652"/>
      </w:pPr>
      <w:rPr>
        <w:rFonts w:hint="default"/>
      </w:rPr>
    </w:lvl>
    <w:lvl w:ilvl="8">
      <w:numFmt w:val="bullet"/>
      <w:lvlText w:val="•"/>
      <w:lvlJc w:val="left"/>
      <w:pPr>
        <w:ind w:left="8540" w:hanging="652"/>
      </w:pPr>
      <w:rPr>
        <w:rFonts w:hint="default"/>
      </w:rPr>
    </w:lvl>
  </w:abstractNum>
  <w:abstractNum w:abstractNumId="6" w15:restartNumberingAfterBreak="0">
    <w:nsid w:val="4FA7751C"/>
    <w:multiLevelType w:val="multilevel"/>
    <w:tmpl w:val="5D364A0A"/>
    <w:lvl w:ilvl="0">
      <w:start w:val="8"/>
      <w:numFmt w:val="decimal"/>
      <w:lvlText w:val="%1"/>
      <w:lvlJc w:val="left"/>
      <w:pPr>
        <w:ind w:left="787" w:hanging="652"/>
        <w:jc w:val="left"/>
      </w:pPr>
      <w:rPr>
        <w:rFonts w:hint="default"/>
      </w:rPr>
    </w:lvl>
    <w:lvl w:ilvl="1">
      <w:start w:val="1"/>
      <w:numFmt w:val="decimal"/>
      <w:lvlText w:val="%1.%2"/>
      <w:lvlJc w:val="left"/>
      <w:pPr>
        <w:ind w:left="787" w:hanging="652"/>
        <w:jc w:val="left"/>
      </w:pPr>
      <w:rPr>
        <w:rFonts w:ascii="Verdana" w:eastAsia="Verdana" w:hAnsi="Verdana" w:cs="Verdana" w:hint="default"/>
        <w:b/>
        <w:bCs/>
        <w:w w:val="100"/>
        <w:sz w:val="16"/>
        <w:szCs w:val="16"/>
      </w:rPr>
    </w:lvl>
    <w:lvl w:ilvl="2">
      <w:numFmt w:val="bullet"/>
      <w:lvlText w:val="•"/>
      <w:lvlJc w:val="left"/>
      <w:pPr>
        <w:ind w:left="2720" w:hanging="652"/>
      </w:pPr>
      <w:rPr>
        <w:rFonts w:hint="default"/>
      </w:rPr>
    </w:lvl>
    <w:lvl w:ilvl="3">
      <w:numFmt w:val="bullet"/>
      <w:lvlText w:val="•"/>
      <w:lvlJc w:val="left"/>
      <w:pPr>
        <w:ind w:left="3690" w:hanging="652"/>
      </w:pPr>
      <w:rPr>
        <w:rFonts w:hint="default"/>
      </w:rPr>
    </w:lvl>
    <w:lvl w:ilvl="4">
      <w:numFmt w:val="bullet"/>
      <w:lvlText w:val="•"/>
      <w:lvlJc w:val="left"/>
      <w:pPr>
        <w:ind w:left="4660" w:hanging="652"/>
      </w:pPr>
      <w:rPr>
        <w:rFonts w:hint="default"/>
      </w:rPr>
    </w:lvl>
    <w:lvl w:ilvl="5">
      <w:numFmt w:val="bullet"/>
      <w:lvlText w:val="•"/>
      <w:lvlJc w:val="left"/>
      <w:pPr>
        <w:ind w:left="5630" w:hanging="652"/>
      </w:pPr>
      <w:rPr>
        <w:rFonts w:hint="default"/>
      </w:rPr>
    </w:lvl>
    <w:lvl w:ilvl="6">
      <w:numFmt w:val="bullet"/>
      <w:lvlText w:val="•"/>
      <w:lvlJc w:val="left"/>
      <w:pPr>
        <w:ind w:left="6600" w:hanging="652"/>
      </w:pPr>
      <w:rPr>
        <w:rFonts w:hint="default"/>
      </w:rPr>
    </w:lvl>
    <w:lvl w:ilvl="7">
      <w:numFmt w:val="bullet"/>
      <w:lvlText w:val="•"/>
      <w:lvlJc w:val="left"/>
      <w:pPr>
        <w:ind w:left="7570" w:hanging="652"/>
      </w:pPr>
      <w:rPr>
        <w:rFonts w:hint="default"/>
      </w:rPr>
    </w:lvl>
    <w:lvl w:ilvl="8">
      <w:numFmt w:val="bullet"/>
      <w:lvlText w:val="•"/>
      <w:lvlJc w:val="left"/>
      <w:pPr>
        <w:ind w:left="8540" w:hanging="652"/>
      </w:pPr>
      <w:rPr>
        <w:rFonts w:hint="default"/>
      </w:rPr>
    </w:lvl>
  </w:abstractNum>
  <w:abstractNum w:abstractNumId="7" w15:restartNumberingAfterBreak="0">
    <w:nsid w:val="5EC9166D"/>
    <w:multiLevelType w:val="multilevel"/>
    <w:tmpl w:val="F9862754"/>
    <w:lvl w:ilvl="0">
      <w:start w:val="7"/>
      <w:numFmt w:val="decimal"/>
      <w:lvlText w:val="%1"/>
      <w:lvlJc w:val="left"/>
      <w:pPr>
        <w:ind w:left="787" w:hanging="652"/>
        <w:jc w:val="left"/>
      </w:pPr>
      <w:rPr>
        <w:rFonts w:hint="default"/>
      </w:rPr>
    </w:lvl>
    <w:lvl w:ilvl="1">
      <w:start w:val="1"/>
      <w:numFmt w:val="decimal"/>
      <w:lvlText w:val="%1.%2"/>
      <w:lvlJc w:val="left"/>
      <w:pPr>
        <w:ind w:left="787" w:hanging="652"/>
        <w:jc w:val="left"/>
      </w:pPr>
      <w:rPr>
        <w:rFonts w:ascii="Verdana" w:eastAsia="Verdana" w:hAnsi="Verdana" w:cs="Verdana" w:hint="default"/>
        <w:b/>
        <w:bCs/>
        <w:w w:val="100"/>
        <w:sz w:val="16"/>
        <w:szCs w:val="16"/>
      </w:rPr>
    </w:lvl>
    <w:lvl w:ilvl="2">
      <w:numFmt w:val="bullet"/>
      <w:lvlText w:val="•"/>
      <w:lvlJc w:val="left"/>
      <w:pPr>
        <w:ind w:left="2720" w:hanging="652"/>
      </w:pPr>
      <w:rPr>
        <w:rFonts w:hint="default"/>
      </w:rPr>
    </w:lvl>
    <w:lvl w:ilvl="3">
      <w:numFmt w:val="bullet"/>
      <w:lvlText w:val="•"/>
      <w:lvlJc w:val="left"/>
      <w:pPr>
        <w:ind w:left="3690" w:hanging="652"/>
      </w:pPr>
      <w:rPr>
        <w:rFonts w:hint="default"/>
      </w:rPr>
    </w:lvl>
    <w:lvl w:ilvl="4">
      <w:numFmt w:val="bullet"/>
      <w:lvlText w:val="•"/>
      <w:lvlJc w:val="left"/>
      <w:pPr>
        <w:ind w:left="4660" w:hanging="652"/>
      </w:pPr>
      <w:rPr>
        <w:rFonts w:hint="default"/>
      </w:rPr>
    </w:lvl>
    <w:lvl w:ilvl="5">
      <w:numFmt w:val="bullet"/>
      <w:lvlText w:val="•"/>
      <w:lvlJc w:val="left"/>
      <w:pPr>
        <w:ind w:left="5630" w:hanging="652"/>
      </w:pPr>
      <w:rPr>
        <w:rFonts w:hint="default"/>
      </w:rPr>
    </w:lvl>
    <w:lvl w:ilvl="6">
      <w:numFmt w:val="bullet"/>
      <w:lvlText w:val="•"/>
      <w:lvlJc w:val="left"/>
      <w:pPr>
        <w:ind w:left="6600" w:hanging="652"/>
      </w:pPr>
      <w:rPr>
        <w:rFonts w:hint="default"/>
      </w:rPr>
    </w:lvl>
    <w:lvl w:ilvl="7">
      <w:numFmt w:val="bullet"/>
      <w:lvlText w:val="•"/>
      <w:lvlJc w:val="left"/>
      <w:pPr>
        <w:ind w:left="7570" w:hanging="652"/>
      </w:pPr>
      <w:rPr>
        <w:rFonts w:hint="default"/>
      </w:rPr>
    </w:lvl>
    <w:lvl w:ilvl="8">
      <w:numFmt w:val="bullet"/>
      <w:lvlText w:val="•"/>
      <w:lvlJc w:val="left"/>
      <w:pPr>
        <w:ind w:left="8540" w:hanging="652"/>
      </w:pPr>
      <w:rPr>
        <w:rFonts w:hint="default"/>
      </w:rPr>
    </w:lvl>
  </w:abstractNum>
  <w:abstractNum w:abstractNumId="8" w15:restartNumberingAfterBreak="0">
    <w:nsid w:val="654A0A61"/>
    <w:multiLevelType w:val="multilevel"/>
    <w:tmpl w:val="27928A70"/>
    <w:lvl w:ilvl="0">
      <w:start w:val="4"/>
      <w:numFmt w:val="decimal"/>
      <w:lvlText w:val="%1"/>
      <w:lvlJc w:val="left"/>
      <w:pPr>
        <w:ind w:left="787" w:hanging="652"/>
        <w:jc w:val="left"/>
      </w:pPr>
      <w:rPr>
        <w:rFonts w:hint="default"/>
      </w:rPr>
    </w:lvl>
    <w:lvl w:ilvl="1">
      <w:start w:val="1"/>
      <w:numFmt w:val="decimal"/>
      <w:lvlText w:val="%1.%2"/>
      <w:lvlJc w:val="left"/>
      <w:pPr>
        <w:ind w:left="787" w:hanging="652"/>
        <w:jc w:val="left"/>
      </w:pPr>
      <w:rPr>
        <w:rFonts w:ascii="Verdana" w:eastAsia="Verdana" w:hAnsi="Verdana" w:cs="Verdana" w:hint="default"/>
        <w:b/>
        <w:bCs/>
        <w:w w:val="100"/>
        <w:sz w:val="16"/>
        <w:szCs w:val="16"/>
      </w:rPr>
    </w:lvl>
    <w:lvl w:ilvl="2">
      <w:numFmt w:val="bullet"/>
      <w:lvlText w:val="•"/>
      <w:lvlJc w:val="left"/>
      <w:pPr>
        <w:ind w:left="2720" w:hanging="652"/>
      </w:pPr>
      <w:rPr>
        <w:rFonts w:hint="default"/>
      </w:rPr>
    </w:lvl>
    <w:lvl w:ilvl="3">
      <w:numFmt w:val="bullet"/>
      <w:lvlText w:val="•"/>
      <w:lvlJc w:val="left"/>
      <w:pPr>
        <w:ind w:left="3690" w:hanging="652"/>
      </w:pPr>
      <w:rPr>
        <w:rFonts w:hint="default"/>
      </w:rPr>
    </w:lvl>
    <w:lvl w:ilvl="4">
      <w:numFmt w:val="bullet"/>
      <w:lvlText w:val="•"/>
      <w:lvlJc w:val="left"/>
      <w:pPr>
        <w:ind w:left="4660" w:hanging="652"/>
      </w:pPr>
      <w:rPr>
        <w:rFonts w:hint="default"/>
      </w:rPr>
    </w:lvl>
    <w:lvl w:ilvl="5">
      <w:numFmt w:val="bullet"/>
      <w:lvlText w:val="•"/>
      <w:lvlJc w:val="left"/>
      <w:pPr>
        <w:ind w:left="5630" w:hanging="652"/>
      </w:pPr>
      <w:rPr>
        <w:rFonts w:hint="default"/>
      </w:rPr>
    </w:lvl>
    <w:lvl w:ilvl="6">
      <w:numFmt w:val="bullet"/>
      <w:lvlText w:val="•"/>
      <w:lvlJc w:val="left"/>
      <w:pPr>
        <w:ind w:left="6600" w:hanging="652"/>
      </w:pPr>
      <w:rPr>
        <w:rFonts w:hint="default"/>
      </w:rPr>
    </w:lvl>
    <w:lvl w:ilvl="7">
      <w:numFmt w:val="bullet"/>
      <w:lvlText w:val="•"/>
      <w:lvlJc w:val="left"/>
      <w:pPr>
        <w:ind w:left="7570" w:hanging="652"/>
      </w:pPr>
      <w:rPr>
        <w:rFonts w:hint="default"/>
      </w:rPr>
    </w:lvl>
    <w:lvl w:ilvl="8">
      <w:numFmt w:val="bullet"/>
      <w:lvlText w:val="•"/>
      <w:lvlJc w:val="left"/>
      <w:pPr>
        <w:ind w:left="8540" w:hanging="652"/>
      </w:pPr>
      <w:rPr>
        <w:rFonts w:hint="default"/>
      </w:rPr>
    </w:lvl>
  </w:abstractNum>
  <w:abstractNum w:abstractNumId="9" w15:restartNumberingAfterBreak="0">
    <w:nsid w:val="72160BF8"/>
    <w:multiLevelType w:val="multilevel"/>
    <w:tmpl w:val="736C8DA2"/>
    <w:lvl w:ilvl="0">
      <w:start w:val="9"/>
      <w:numFmt w:val="decimal"/>
      <w:lvlText w:val="%1"/>
      <w:lvlJc w:val="left"/>
      <w:pPr>
        <w:ind w:left="787" w:hanging="652"/>
        <w:jc w:val="left"/>
      </w:pPr>
      <w:rPr>
        <w:rFonts w:hint="default"/>
      </w:rPr>
    </w:lvl>
    <w:lvl w:ilvl="1">
      <w:start w:val="1"/>
      <w:numFmt w:val="decimal"/>
      <w:lvlText w:val="%1.%2"/>
      <w:lvlJc w:val="left"/>
      <w:pPr>
        <w:ind w:left="787" w:hanging="652"/>
        <w:jc w:val="left"/>
      </w:pPr>
      <w:rPr>
        <w:rFonts w:ascii="Verdana" w:eastAsia="Verdana" w:hAnsi="Verdana" w:cs="Verdana" w:hint="default"/>
        <w:b/>
        <w:bCs/>
        <w:w w:val="100"/>
        <w:sz w:val="16"/>
        <w:szCs w:val="16"/>
      </w:rPr>
    </w:lvl>
    <w:lvl w:ilvl="2">
      <w:numFmt w:val="bullet"/>
      <w:lvlText w:val="•"/>
      <w:lvlJc w:val="left"/>
      <w:pPr>
        <w:ind w:left="2720" w:hanging="652"/>
      </w:pPr>
      <w:rPr>
        <w:rFonts w:hint="default"/>
      </w:rPr>
    </w:lvl>
    <w:lvl w:ilvl="3">
      <w:numFmt w:val="bullet"/>
      <w:lvlText w:val="•"/>
      <w:lvlJc w:val="left"/>
      <w:pPr>
        <w:ind w:left="3690" w:hanging="652"/>
      </w:pPr>
      <w:rPr>
        <w:rFonts w:hint="default"/>
      </w:rPr>
    </w:lvl>
    <w:lvl w:ilvl="4">
      <w:numFmt w:val="bullet"/>
      <w:lvlText w:val="•"/>
      <w:lvlJc w:val="left"/>
      <w:pPr>
        <w:ind w:left="4660" w:hanging="652"/>
      </w:pPr>
      <w:rPr>
        <w:rFonts w:hint="default"/>
      </w:rPr>
    </w:lvl>
    <w:lvl w:ilvl="5">
      <w:numFmt w:val="bullet"/>
      <w:lvlText w:val="•"/>
      <w:lvlJc w:val="left"/>
      <w:pPr>
        <w:ind w:left="5630" w:hanging="652"/>
      </w:pPr>
      <w:rPr>
        <w:rFonts w:hint="default"/>
      </w:rPr>
    </w:lvl>
    <w:lvl w:ilvl="6">
      <w:numFmt w:val="bullet"/>
      <w:lvlText w:val="•"/>
      <w:lvlJc w:val="left"/>
      <w:pPr>
        <w:ind w:left="6600" w:hanging="652"/>
      </w:pPr>
      <w:rPr>
        <w:rFonts w:hint="default"/>
      </w:rPr>
    </w:lvl>
    <w:lvl w:ilvl="7">
      <w:numFmt w:val="bullet"/>
      <w:lvlText w:val="•"/>
      <w:lvlJc w:val="left"/>
      <w:pPr>
        <w:ind w:left="7570" w:hanging="652"/>
      </w:pPr>
      <w:rPr>
        <w:rFonts w:hint="default"/>
      </w:rPr>
    </w:lvl>
    <w:lvl w:ilvl="8">
      <w:numFmt w:val="bullet"/>
      <w:lvlText w:val="•"/>
      <w:lvlJc w:val="left"/>
      <w:pPr>
        <w:ind w:left="8540" w:hanging="652"/>
      </w:pPr>
      <w:rPr>
        <w:rFonts w:hint="default"/>
      </w:rPr>
    </w:lvl>
  </w:abstractNum>
  <w:abstractNum w:abstractNumId="10" w15:restartNumberingAfterBreak="0">
    <w:nsid w:val="7CC32B38"/>
    <w:multiLevelType w:val="multilevel"/>
    <w:tmpl w:val="E1CC0814"/>
    <w:lvl w:ilvl="0">
      <w:start w:val="2"/>
      <w:numFmt w:val="decimal"/>
      <w:lvlText w:val="%1"/>
      <w:lvlJc w:val="left"/>
      <w:pPr>
        <w:ind w:left="787" w:hanging="652"/>
        <w:jc w:val="left"/>
      </w:pPr>
      <w:rPr>
        <w:rFonts w:hint="default"/>
      </w:rPr>
    </w:lvl>
    <w:lvl w:ilvl="1">
      <w:start w:val="1"/>
      <w:numFmt w:val="decimal"/>
      <w:lvlText w:val="%1.%2"/>
      <w:lvlJc w:val="left"/>
      <w:pPr>
        <w:ind w:left="787" w:hanging="652"/>
        <w:jc w:val="left"/>
      </w:pPr>
      <w:rPr>
        <w:rFonts w:ascii="Verdana" w:eastAsia="Verdana" w:hAnsi="Verdana" w:cs="Verdana" w:hint="default"/>
        <w:b/>
        <w:bCs/>
        <w:w w:val="100"/>
        <w:sz w:val="16"/>
        <w:szCs w:val="16"/>
      </w:rPr>
    </w:lvl>
    <w:lvl w:ilvl="2">
      <w:numFmt w:val="bullet"/>
      <w:lvlText w:val="•"/>
      <w:lvlJc w:val="left"/>
      <w:pPr>
        <w:ind w:left="2720" w:hanging="652"/>
      </w:pPr>
      <w:rPr>
        <w:rFonts w:hint="default"/>
      </w:rPr>
    </w:lvl>
    <w:lvl w:ilvl="3">
      <w:numFmt w:val="bullet"/>
      <w:lvlText w:val="•"/>
      <w:lvlJc w:val="left"/>
      <w:pPr>
        <w:ind w:left="3690" w:hanging="652"/>
      </w:pPr>
      <w:rPr>
        <w:rFonts w:hint="default"/>
      </w:rPr>
    </w:lvl>
    <w:lvl w:ilvl="4">
      <w:numFmt w:val="bullet"/>
      <w:lvlText w:val="•"/>
      <w:lvlJc w:val="left"/>
      <w:pPr>
        <w:ind w:left="4660" w:hanging="652"/>
      </w:pPr>
      <w:rPr>
        <w:rFonts w:hint="default"/>
      </w:rPr>
    </w:lvl>
    <w:lvl w:ilvl="5">
      <w:numFmt w:val="bullet"/>
      <w:lvlText w:val="•"/>
      <w:lvlJc w:val="left"/>
      <w:pPr>
        <w:ind w:left="5630" w:hanging="652"/>
      </w:pPr>
      <w:rPr>
        <w:rFonts w:hint="default"/>
      </w:rPr>
    </w:lvl>
    <w:lvl w:ilvl="6">
      <w:numFmt w:val="bullet"/>
      <w:lvlText w:val="•"/>
      <w:lvlJc w:val="left"/>
      <w:pPr>
        <w:ind w:left="6600" w:hanging="652"/>
      </w:pPr>
      <w:rPr>
        <w:rFonts w:hint="default"/>
      </w:rPr>
    </w:lvl>
    <w:lvl w:ilvl="7">
      <w:numFmt w:val="bullet"/>
      <w:lvlText w:val="•"/>
      <w:lvlJc w:val="left"/>
      <w:pPr>
        <w:ind w:left="7570" w:hanging="652"/>
      </w:pPr>
      <w:rPr>
        <w:rFonts w:hint="default"/>
      </w:rPr>
    </w:lvl>
    <w:lvl w:ilvl="8">
      <w:numFmt w:val="bullet"/>
      <w:lvlText w:val="•"/>
      <w:lvlJc w:val="left"/>
      <w:pPr>
        <w:ind w:left="8540" w:hanging="652"/>
      </w:pPr>
      <w:rPr>
        <w:rFonts w:hint="default"/>
      </w:rPr>
    </w:lvl>
  </w:abstractNum>
  <w:abstractNum w:abstractNumId="11" w15:restartNumberingAfterBreak="0">
    <w:nsid w:val="7D421A3D"/>
    <w:multiLevelType w:val="multilevel"/>
    <w:tmpl w:val="27960A6C"/>
    <w:lvl w:ilvl="0">
      <w:start w:val="6"/>
      <w:numFmt w:val="decimal"/>
      <w:lvlText w:val="%1"/>
      <w:lvlJc w:val="left"/>
      <w:pPr>
        <w:ind w:left="787" w:hanging="652"/>
        <w:jc w:val="left"/>
      </w:pPr>
      <w:rPr>
        <w:rFonts w:hint="default"/>
      </w:rPr>
    </w:lvl>
    <w:lvl w:ilvl="1">
      <w:start w:val="1"/>
      <w:numFmt w:val="decimal"/>
      <w:lvlText w:val="%1.%2"/>
      <w:lvlJc w:val="left"/>
      <w:pPr>
        <w:ind w:left="787" w:hanging="652"/>
        <w:jc w:val="left"/>
      </w:pPr>
      <w:rPr>
        <w:rFonts w:ascii="Verdana" w:eastAsia="Verdana" w:hAnsi="Verdana" w:cs="Verdana" w:hint="default"/>
        <w:b/>
        <w:bCs/>
        <w:w w:val="100"/>
        <w:sz w:val="16"/>
        <w:szCs w:val="16"/>
      </w:rPr>
    </w:lvl>
    <w:lvl w:ilvl="2">
      <w:numFmt w:val="bullet"/>
      <w:lvlText w:val="•"/>
      <w:lvlJc w:val="left"/>
      <w:pPr>
        <w:ind w:left="2720" w:hanging="652"/>
      </w:pPr>
      <w:rPr>
        <w:rFonts w:hint="default"/>
      </w:rPr>
    </w:lvl>
    <w:lvl w:ilvl="3">
      <w:numFmt w:val="bullet"/>
      <w:lvlText w:val="•"/>
      <w:lvlJc w:val="left"/>
      <w:pPr>
        <w:ind w:left="3690" w:hanging="652"/>
      </w:pPr>
      <w:rPr>
        <w:rFonts w:hint="default"/>
      </w:rPr>
    </w:lvl>
    <w:lvl w:ilvl="4">
      <w:numFmt w:val="bullet"/>
      <w:lvlText w:val="•"/>
      <w:lvlJc w:val="left"/>
      <w:pPr>
        <w:ind w:left="4660" w:hanging="652"/>
      </w:pPr>
      <w:rPr>
        <w:rFonts w:hint="default"/>
      </w:rPr>
    </w:lvl>
    <w:lvl w:ilvl="5">
      <w:numFmt w:val="bullet"/>
      <w:lvlText w:val="•"/>
      <w:lvlJc w:val="left"/>
      <w:pPr>
        <w:ind w:left="5630" w:hanging="652"/>
      </w:pPr>
      <w:rPr>
        <w:rFonts w:hint="default"/>
      </w:rPr>
    </w:lvl>
    <w:lvl w:ilvl="6">
      <w:numFmt w:val="bullet"/>
      <w:lvlText w:val="•"/>
      <w:lvlJc w:val="left"/>
      <w:pPr>
        <w:ind w:left="6600" w:hanging="652"/>
      </w:pPr>
      <w:rPr>
        <w:rFonts w:hint="default"/>
      </w:rPr>
    </w:lvl>
    <w:lvl w:ilvl="7">
      <w:numFmt w:val="bullet"/>
      <w:lvlText w:val="•"/>
      <w:lvlJc w:val="left"/>
      <w:pPr>
        <w:ind w:left="7570" w:hanging="652"/>
      </w:pPr>
      <w:rPr>
        <w:rFonts w:hint="default"/>
      </w:rPr>
    </w:lvl>
    <w:lvl w:ilvl="8">
      <w:numFmt w:val="bullet"/>
      <w:lvlText w:val="•"/>
      <w:lvlJc w:val="left"/>
      <w:pPr>
        <w:ind w:left="8540" w:hanging="652"/>
      </w:pPr>
      <w:rPr>
        <w:rFonts w:hint="default"/>
      </w:rPr>
    </w:lvl>
  </w:abstractNum>
  <w:num w:numId="1">
    <w:abstractNumId w:val="3"/>
  </w:num>
  <w:num w:numId="2">
    <w:abstractNumId w:val="2"/>
  </w:num>
  <w:num w:numId="3">
    <w:abstractNumId w:val="5"/>
  </w:num>
  <w:num w:numId="4">
    <w:abstractNumId w:val="1"/>
  </w:num>
  <w:num w:numId="5">
    <w:abstractNumId w:val="9"/>
  </w:num>
  <w:num w:numId="6">
    <w:abstractNumId w:val="6"/>
  </w:num>
  <w:num w:numId="7">
    <w:abstractNumId w:val="7"/>
  </w:num>
  <w:num w:numId="8">
    <w:abstractNumId w:val="11"/>
  </w:num>
  <w:num w:numId="9">
    <w:abstractNumId w:val="4"/>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612A"/>
    <w:rsid w:val="00382D24"/>
    <w:rsid w:val="003E52AB"/>
    <w:rsid w:val="0052253F"/>
    <w:rsid w:val="00863658"/>
    <w:rsid w:val="00AB68F0"/>
    <w:rsid w:val="00BF61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1E5185F"/>
  <w15:docId w15:val="{948C7889-D4C1-42DA-96AD-E4338020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Verdana" w:eastAsia="Verdana" w:hAnsi="Verdana" w:cs="Verdana"/>
    </w:rPr>
  </w:style>
  <w:style w:type="paragraph" w:styleId="Nadpis1">
    <w:name w:val="heading 1"/>
    <w:basedOn w:val="Normln"/>
    <w:uiPriority w:val="1"/>
    <w:qFormat/>
    <w:pPr>
      <w:spacing w:before="92"/>
      <w:ind w:left="7"/>
      <w:outlineLvl w:val="0"/>
    </w:pPr>
    <w:rPr>
      <w:rFonts w:ascii="Arial" w:eastAsia="Arial" w:hAnsi="Arial" w:cs="Arial"/>
      <w:b/>
      <w:bCs/>
      <w:sz w:val="20"/>
      <w:szCs w:val="20"/>
    </w:rPr>
  </w:style>
  <w:style w:type="paragraph" w:styleId="Nadpis2">
    <w:name w:val="heading 2"/>
    <w:basedOn w:val="Normln"/>
    <w:uiPriority w:val="1"/>
    <w:qFormat/>
    <w:pPr>
      <w:ind w:left="107"/>
      <w:outlineLvl w:val="1"/>
    </w:pPr>
    <w:rPr>
      <w:rFonts w:ascii="Arial" w:eastAsia="Arial" w:hAnsi="Arial" w:cs="Arial"/>
      <w:sz w:val="20"/>
      <w:szCs w:val="20"/>
    </w:rPr>
  </w:style>
  <w:style w:type="paragraph" w:styleId="Nadpis3">
    <w:name w:val="heading 3"/>
    <w:basedOn w:val="Normln"/>
    <w:uiPriority w:val="1"/>
    <w:qFormat/>
    <w:pPr>
      <w:spacing w:line="206" w:lineRule="exact"/>
      <w:ind w:left="103"/>
      <w:outlineLvl w:val="2"/>
    </w:pPr>
    <w:rPr>
      <w:rFonts w:ascii="Arial" w:eastAsia="Arial" w:hAnsi="Arial" w:cs="Arial"/>
      <w:sz w:val="18"/>
      <w:szCs w:val="18"/>
    </w:rPr>
  </w:style>
  <w:style w:type="paragraph" w:styleId="Nadpis4">
    <w:name w:val="heading 4"/>
    <w:basedOn w:val="Normln"/>
    <w:uiPriority w:val="1"/>
    <w:qFormat/>
    <w:pPr>
      <w:spacing w:before="101"/>
      <w:ind w:left="787"/>
      <w:outlineLvl w:val="3"/>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87"/>
    </w:pPr>
    <w:rPr>
      <w:sz w:val="16"/>
      <w:szCs w:val="16"/>
    </w:rPr>
  </w:style>
  <w:style w:type="paragraph" w:styleId="Odstavecseseznamem">
    <w:name w:val="List Paragraph"/>
    <w:basedOn w:val="Normln"/>
    <w:uiPriority w:val="1"/>
    <w:qFormat/>
    <w:pPr>
      <w:spacing w:before="32"/>
      <w:ind w:left="787" w:hanging="651"/>
    </w:pPr>
  </w:style>
  <w:style w:type="paragraph" w:customStyle="1" w:styleId="TableParagraph">
    <w:name w:val="Table Paragraph"/>
    <w:basedOn w:val="Normln"/>
    <w:uiPriority w:val="1"/>
    <w:qFormat/>
    <w:pPr>
      <w:ind w:left="43"/>
    </w:pPr>
    <w:rPr>
      <w:rFonts w:ascii="Arial" w:eastAsia="Arial" w:hAnsi="Arial" w:cs="Arial"/>
    </w:rPr>
  </w:style>
  <w:style w:type="paragraph" w:styleId="Zhlav">
    <w:name w:val="header"/>
    <w:basedOn w:val="Normln"/>
    <w:link w:val="ZhlavChar"/>
    <w:uiPriority w:val="99"/>
    <w:unhideWhenUsed/>
    <w:rsid w:val="00382D24"/>
    <w:pPr>
      <w:tabs>
        <w:tab w:val="center" w:pos="4536"/>
        <w:tab w:val="right" w:pos="9072"/>
      </w:tabs>
    </w:pPr>
  </w:style>
  <w:style w:type="character" w:customStyle="1" w:styleId="ZhlavChar">
    <w:name w:val="Záhlaví Char"/>
    <w:basedOn w:val="Standardnpsmoodstavce"/>
    <w:link w:val="Zhlav"/>
    <w:uiPriority w:val="99"/>
    <w:rsid w:val="00382D24"/>
    <w:rPr>
      <w:rFonts w:ascii="Verdana" w:eastAsia="Verdana" w:hAnsi="Verdana" w:cs="Verdana"/>
    </w:rPr>
  </w:style>
  <w:style w:type="paragraph" w:styleId="Zpat">
    <w:name w:val="footer"/>
    <w:basedOn w:val="Normln"/>
    <w:link w:val="ZpatChar"/>
    <w:uiPriority w:val="99"/>
    <w:unhideWhenUsed/>
    <w:rsid w:val="00382D24"/>
    <w:pPr>
      <w:tabs>
        <w:tab w:val="center" w:pos="4536"/>
        <w:tab w:val="right" w:pos="9072"/>
      </w:tabs>
    </w:pPr>
  </w:style>
  <w:style w:type="character" w:customStyle="1" w:styleId="ZpatChar">
    <w:name w:val="Zápatí Char"/>
    <w:basedOn w:val="Standardnpsmoodstavce"/>
    <w:link w:val="Zpat"/>
    <w:uiPriority w:val="99"/>
    <w:rsid w:val="00382D24"/>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anka.novakova@teluria.cz"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bal.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l@bal.cz"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4594</Words>
  <Characters>27107</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ZAPAL TO tekutý podpalovač</vt:lpstr>
    </vt:vector>
  </TitlesOfParts>
  <Company>Severochema, družstvo pro chemickou výrobu, Liberec</Company>
  <LinksUpToDate>false</LinksUpToDate>
  <CharactersWithSpaces>31638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ZAPAL TO tekutý podpalovač</dc:title>
  <dc:subject>Bezpečnostní list ZAPAL TO tekutý podpalovač</dc:subject>
  <dc:creator>Severochema</dc:creator>
  <cp:lastModifiedBy>Ing. Jitka Vladařová</cp:lastModifiedBy>
  <cp:revision>4</cp:revision>
  <dcterms:created xsi:type="dcterms:W3CDTF">2018-02-24T11:54:00Z</dcterms:created>
  <dcterms:modified xsi:type="dcterms:W3CDTF">2018-02-24T11:05:00Z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2018-02-24T00:00:00Z</vt:filetime>
  </property>
  <property fmtid="{D5CDD505-2E9C-101B-9397-08002B2CF9AE}" pid="3" name="Creator">
    <vt:lpwstr>SBLCore 2017 (v17.11.15)</vt:lpwstr>
  </property>
  <property fmtid="{D5CDD505-2E9C-101B-9397-08002B2CF9AE}" pid="4" name="LastSaved">
    <vt:filetime>2018-02-24T00:00:00Z</vt:filetime>
  </property>
</Properties>
</file>